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777D" w:rsidRDefault="00A5777D" w:rsidP="004C68F5">
      <w:pPr>
        <w:pStyle w:val="Heading1"/>
      </w:pPr>
      <w:r>
        <w:t>Center for Quantitative Life Science Grant Resources</w:t>
      </w:r>
    </w:p>
    <w:p w:rsidR="004C68F5" w:rsidRPr="004C68F5" w:rsidRDefault="004C68F5" w:rsidP="00A5777D">
      <w:pPr>
        <w:pStyle w:val="Heading2"/>
      </w:pPr>
      <w:r w:rsidRPr="004C68F5">
        <w:t>Laboratory Facilities, Equipment and Services</w:t>
      </w:r>
    </w:p>
    <w:p w:rsidR="004C68F5" w:rsidRPr="004C68F5" w:rsidRDefault="004C68F5" w:rsidP="00A5777D">
      <w:pPr>
        <w:pStyle w:val="Heading3"/>
      </w:pPr>
      <w:r w:rsidRPr="004C68F5">
        <w:t>CQLS Genomics Core</w:t>
      </w:r>
    </w:p>
    <w:p w:rsidR="004C68F5" w:rsidRDefault="004C68F5" w:rsidP="004C68F5">
      <w:r>
        <w:t>Several services are offered through CQLS genomics core</w:t>
      </w:r>
    </w:p>
    <w:p w:rsidR="004C68F5" w:rsidRDefault="004C68F5" w:rsidP="004C68F5">
      <w:pPr>
        <w:pStyle w:val="ListParagraph"/>
        <w:numPr>
          <w:ilvl w:val="0"/>
          <w:numId w:val="2"/>
        </w:numPr>
      </w:pPr>
      <w:r>
        <w:t xml:space="preserve">High-Throughput Short-Read Sequencing </w:t>
      </w:r>
    </w:p>
    <w:p w:rsidR="004C68F5" w:rsidRDefault="004C68F5" w:rsidP="004C68F5">
      <w:pPr>
        <w:pStyle w:val="ListParagraph"/>
        <w:numPr>
          <w:ilvl w:val="1"/>
          <w:numId w:val="2"/>
        </w:numPr>
      </w:pPr>
      <w:r>
        <w:t xml:space="preserve">Illumina </w:t>
      </w:r>
      <w:proofErr w:type="spellStart"/>
      <w:r>
        <w:t>NextSeq</w:t>
      </w:r>
      <w:proofErr w:type="spellEnd"/>
      <w:r>
        <w:t xml:space="preserve"> 2000</w:t>
      </w:r>
    </w:p>
    <w:p w:rsidR="004C68F5" w:rsidRDefault="004C68F5" w:rsidP="004C68F5">
      <w:pPr>
        <w:pStyle w:val="ListParagraph"/>
        <w:numPr>
          <w:ilvl w:val="1"/>
          <w:numId w:val="2"/>
        </w:numPr>
      </w:pPr>
      <w:r>
        <w:t xml:space="preserve">Illumina </w:t>
      </w:r>
      <w:proofErr w:type="spellStart"/>
      <w:r>
        <w:t>MiSeq</w:t>
      </w:r>
      <w:proofErr w:type="spellEnd"/>
      <w:r>
        <w:t xml:space="preserve"> i100</w:t>
      </w:r>
    </w:p>
    <w:p w:rsidR="004C68F5" w:rsidRDefault="004C68F5" w:rsidP="004C68F5">
      <w:pPr>
        <w:pStyle w:val="ListParagraph"/>
        <w:numPr>
          <w:ilvl w:val="1"/>
          <w:numId w:val="2"/>
        </w:numPr>
      </w:pPr>
      <w:r>
        <w:t xml:space="preserve">Numerous library preparations, such as genotyping-by-sequencing, meta-barcoding, metagenomics sequencing, and transcriptomic sequencing (several methods including </w:t>
      </w:r>
      <w:proofErr w:type="spellStart"/>
      <w:r>
        <w:t>Lexogen</w:t>
      </w:r>
      <w:proofErr w:type="spellEnd"/>
      <w:r>
        <w:t xml:space="preserve"> </w:t>
      </w:r>
      <w:proofErr w:type="spellStart"/>
      <w:r>
        <w:t>QuantSeq</w:t>
      </w:r>
      <w:proofErr w:type="spellEnd"/>
      <w:r>
        <w:t>.</w:t>
      </w:r>
    </w:p>
    <w:p w:rsidR="004C68F5" w:rsidRDefault="004C68F5" w:rsidP="004C68F5">
      <w:pPr>
        <w:pStyle w:val="ListParagraph"/>
        <w:numPr>
          <w:ilvl w:val="0"/>
          <w:numId w:val="2"/>
        </w:numPr>
      </w:pPr>
      <w:r>
        <w:t xml:space="preserve">Robotic Library preps, cleanup, normalizations, cherry picking and pipetting </w:t>
      </w:r>
    </w:p>
    <w:p w:rsidR="004C68F5" w:rsidRDefault="004C68F5" w:rsidP="004C68F5">
      <w:pPr>
        <w:pStyle w:val="ListParagraph"/>
        <w:numPr>
          <w:ilvl w:val="1"/>
          <w:numId w:val="2"/>
        </w:numPr>
      </w:pPr>
      <w:r>
        <w:t xml:space="preserve">Eppendorf </w:t>
      </w:r>
      <w:proofErr w:type="spellStart"/>
      <w:r>
        <w:t>epMotion</w:t>
      </w:r>
      <w:proofErr w:type="spellEnd"/>
      <w:r>
        <w:t xml:space="preserve"> 5075t with UV/HEPA filter</w:t>
      </w:r>
    </w:p>
    <w:p w:rsidR="004C68F5" w:rsidRDefault="004C68F5" w:rsidP="004C68F5">
      <w:pPr>
        <w:pStyle w:val="ListParagraph"/>
        <w:numPr>
          <w:ilvl w:val="1"/>
          <w:numId w:val="2"/>
        </w:numPr>
      </w:pPr>
      <w:proofErr w:type="spellStart"/>
      <w:r>
        <w:t>Formulatrix</w:t>
      </w:r>
      <w:proofErr w:type="spellEnd"/>
      <w:r>
        <w:t xml:space="preserve"> Mantis</w:t>
      </w:r>
    </w:p>
    <w:p w:rsidR="004C68F5" w:rsidRDefault="004C68F5" w:rsidP="004C68F5">
      <w:pPr>
        <w:pStyle w:val="ListParagraph"/>
        <w:numPr>
          <w:ilvl w:val="0"/>
          <w:numId w:val="2"/>
        </w:numPr>
      </w:pPr>
      <w:r>
        <w:t>High-Throughput Long-Read Sequencing</w:t>
      </w:r>
    </w:p>
    <w:p w:rsidR="004C68F5" w:rsidRDefault="004C68F5" w:rsidP="004C68F5">
      <w:pPr>
        <w:pStyle w:val="ListParagraph"/>
        <w:numPr>
          <w:ilvl w:val="1"/>
          <w:numId w:val="2"/>
        </w:numPr>
      </w:pPr>
      <w:r>
        <w:t>DNA extractions for long read sequencing</w:t>
      </w:r>
    </w:p>
    <w:p w:rsidR="004C68F5" w:rsidRDefault="004C68F5" w:rsidP="004C68F5">
      <w:pPr>
        <w:pStyle w:val="ListParagraph"/>
        <w:numPr>
          <w:ilvl w:val="1"/>
          <w:numId w:val="2"/>
        </w:numPr>
      </w:pPr>
      <w:r>
        <w:t>Access to Oxford Nanopore sequencing and preps</w:t>
      </w:r>
    </w:p>
    <w:p w:rsidR="004C68F5" w:rsidRDefault="004C68F5" w:rsidP="004C68F5">
      <w:pPr>
        <w:pStyle w:val="ListParagraph"/>
        <w:numPr>
          <w:ilvl w:val="1"/>
          <w:numId w:val="2"/>
        </w:numPr>
      </w:pPr>
      <w:r>
        <w:t>Pacific Biosciences library preparations and access to sequencing</w:t>
      </w:r>
    </w:p>
    <w:p w:rsidR="004C68F5" w:rsidRDefault="004C68F5" w:rsidP="004C68F5">
      <w:pPr>
        <w:pStyle w:val="ListParagraph"/>
        <w:numPr>
          <w:ilvl w:val="0"/>
          <w:numId w:val="2"/>
        </w:numPr>
      </w:pPr>
      <w:r>
        <w:t>Sanger DNA sequencing (ABI 3730 DNA Analyzer)</w:t>
      </w:r>
    </w:p>
    <w:p w:rsidR="004C68F5" w:rsidRDefault="004C68F5" w:rsidP="004C68F5">
      <w:pPr>
        <w:pStyle w:val="ListParagraph"/>
        <w:numPr>
          <w:ilvl w:val="0"/>
          <w:numId w:val="2"/>
        </w:numPr>
      </w:pPr>
      <w:r>
        <w:t>SSR Genotyping (ABI 3730 DNA Analyzer)</w:t>
      </w:r>
    </w:p>
    <w:p w:rsidR="004C68F5" w:rsidRDefault="004C68F5" w:rsidP="004C68F5">
      <w:pPr>
        <w:pStyle w:val="ListParagraph"/>
        <w:numPr>
          <w:ilvl w:val="0"/>
          <w:numId w:val="2"/>
        </w:numPr>
      </w:pPr>
      <w:r>
        <w:t xml:space="preserve">DNA/RNA Extractions from soil, plant, animal, or microbial materials of any kind </w:t>
      </w:r>
    </w:p>
    <w:p w:rsidR="004C68F5" w:rsidRDefault="004C68F5" w:rsidP="004C68F5">
      <w:pPr>
        <w:pStyle w:val="ListParagraph"/>
        <w:numPr>
          <w:ilvl w:val="1"/>
          <w:numId w:val="2"/>
        </w:numPr>
      </w:pPr>
      <w:r>
        <w:t xml:space="preserve">Qiagen Tissue </w:t>
      </w:r>
      <w:proofErr w:type="spellStart"/>
      <w:r>
        <w:t>Lyser</w:t>
      </w:r>
      <w:proofErr w:type="spellEnd"/>
      <w:r>
        <w:t xml:space="preserve"> II</w:t>
      </w:r>
    </w:p>
    <w:p w:rsidR="004C68F5" w:rsidRDefault="004C68F5" w:rsidP="004C68F5">
      <w:pPr>
        <w:pStyle w:val="ListParagraph"/>
        <w:numPr>
          <w:ilvl w:val="1"/>
          <w:numId w:val="2"/>
        </w:numPr>
      </w:pPr>
      <w:proofErr w:type="spellStart"/>
      <w:r>
        <w:t>ThermoScientific</w:t>
      </w:r>
      <w:proofErr w:type="spellEnd"/>
      <w:r>
        <w:t xml:space="preserve"> King Fisher Flex extraction purification system</w:t>
      </w:r>
    </w:p>
    <w:p w:rsidR="004C68F5" w:rsidRDefault="004C68F5" w:rsidP="004C68F5">
      <w:pPr>
        <w:pStyle w:val="ListParagraph"/>
        <w:numPr>
          <w:ilvl w:val="1"/>
          <w:numId w:val="2"/>
        </w:numPr>
      </w:pPr>
      <w:r>
        <w:t>SIGMA 4-16KS Centrifuge</w:t>
      </w:r>
    </w:p>
    <w:p w:rsidR="004C68F5" w:rsidRDefault="004C68F5" w:rsidP="004C68F5">
      <w:pPr>
        <w:pStyle w:val="ListParagraph"/>
        <w:numPr>
          <w:ilvl w:val="1"/>
          <w:numId w:val="2"/>
        </w:numPr>
      </w:pPr>
      <w:r>
        <w:t xml:space="preserve">Fisher Scientific </w:t>
      </w:r>
      <w:proofErr w:type="spellStart"/>
      <w:r>
        <w:t>Isotemp</w:t>
      </w:r>
      <w:proofErr w:type="spellEnd"/>
      <w:r>
        <w:t xml:space="preserve"> Oven</w:t>
      </w:r>
    </w:p>
    <w:p w:rsidR="004C68F5" w:rsidRDefault="004C68F5" w:rsidP="004C68F5">
      <w:pPr>
        <w:pStyle w:val="ListParagraph"/>
        <w:numPr>
          <w:ilvl w:val="0"/>
          <w:numId w:val="2"/>
        </w:numPr>
      </w:pPr>
      <w:r>
        <w:t>DNA/RNA Quality Analysis</w:t>
      </w:r>
    </w:p>
    <w:p w:rsidR="004C68F5" w:rsidRDefault="004C68F5" w:rsidP="004C68F5">
      <w:pPr>
        <w:pStyle w:val="ListParagraph"/>
        <w:numPr>
          <w:ilvl w:val="1"/>
          <w:numId w:val="2"/>
        </w:numPr>
      </w:pPr>
      <w:r>
        <w:t>Agilent Bioanalyzer 2100</w:t>
      </w:r>
    </w:p>
    <w:p w:rsidR="004C68F5" w:rsidRDefault="004C68F5" w:rsidP="004C68F5">
      <w:pPr>
        <w:pStyle w:val="ListParagraph"/>
        <w:numPr>
          <w:ilvl w:val="1"/>
          <w:numId w:val="2"/>
        </w:numPr>
      </w:pPr>
      <w:r>
        <w:t xml:space="preserve">Agilent Technologies </w:t>
      </w:r>
      <w:proofErr w:type="spellStart"/>
      <w:r>
        <w:t>TapeStation</w:t>
      </w:r>
      <w:proofErr w:type="spellEnd"/>
      <w:r>
        <w:t xml:space="preserve"> 4200</w:t>
      </w:r>
    </w:p>
    <w:p w:rsidR="004C68F5" w:rsidRDefault="004C68F5" w:rsidP="004C68F5">
      <w:pPr>
        <w:pStyle w:val="ListParagraph"/>
        <w:numPr>
          <w:ilvl w:val="0"/>
          <w:numId w:val="2"/>
        </w:numPr>
      </w:pPr>
      <w:r>
        <w:t>Quantification (</w:t>
      </w:r>
      <w:proofErr w:type="spellStart"/>
      <w:r>
        <w:t>BioTek</w:t>
      </w:r>
      <w:proofErr w:type="spellEnd"/>
      <w:r>
        <w:t xml:space="preserve"> Synergy HT Microplate Reader; Thermo Fisher Scientific Qubit Fluorometer)</w:t>
      </w:r>
    </w:p>
    <w:p w:rsidR="004C68F5" w:rsidRDefault="004C68F5" w:rsidP="004C68F5">
      <w:pPr>
        <w:pStyle w:val="ListParagraph"/>
        <w:numPr>
          <w:ilvl w:val="0"/>
          <w:numId w:val="2"/>
        </w:numPr>
      </w:pPr>
      <w:r>
        <w:t xml:space="preserve">DNA Size Selection (Sage Science </w:t>
      </w:r>
      <w:proofErr w:type="spellStart"/>
      <w:r>
        <w:t>BluePippin</w:t>
      </w:r>
      <w:proofErr w:type="spellEnd"/>
      <w:r>
        <w:t>)</w:t>
      </w:r>
    </w:p>
    <w:p w:rsidR="004C68F5" w:rsidRDefault="004C68F5" w:rsidP="004C68F5">
      <w:pPr>
        <w:pStyle w:val="ListParagraph"/>
        <w:numPr>
          <w:ilvl w:val="0"/>
          <w:numId w:val="2"/>
        </w:numPr>
      </w:pPr>
      <w:r>
        <w:t>DNA Shearing (</w:t>
      </w:r>
      <w:proofErr w:type="spellStart"/>
      <w:r>
        <w:t>Diagenode</w:t>
      </w:r>
      <w:proofErr w:type="spellEnd"/>
      <w:r>
        <w:t xml:space="preserve"> </w:t>
      </w:r>
      <w:proofErr w:type="spellStart"/>
      <w:r>
        <w:t>Megaruptor</w:t>
      </w:r>
      <w:proofErr w:type="spellEnd"/>
      <w:r>
        <w:t xml:space="preserve"> 2, </w:t>
      </w:r>
      <w:proofErr w:type="spellStart"/>
      <w:r>
        <w:t>Diagenode</w:t>
      </w:r>
      <w:proofErr w:type="spellEnd"/>
      <w:r>
        <w:t xml:space="preserve"> Pico) conducted by CQLS staff, or by trained users</w:t>
      </w:r>
    </w:p>
    <w:p w:rsidR="004C68F5" w:rsidRPr="004C68F5" w:rsidRDefault="004C68F5" w:rsidP="00A5777D">
      <w:pPr>
        <w:pStyle w:val="Heading3"/>
      </w:pPr>
      <w:r w:rsidRPr="004C68F5">
        <w:t>CQLS Microscopy Core and Shared Instrumentation Core</w:t>
      </w:r>
    </w:p>
    <w:p w:rsidR="004C68F5" w:rsidRDefault="004C68F5" w:rsidP="004C68F5">
      <w:r>
        <w:t>Microscopes available to trained users or assisted by CQLS staff:</w:t>
      </w:r>
    </w:p>
    <w:p w:rsidR="004C68F5" w:rsidRDefault="004C68F5" w:rsidP="004C68F5">
      <w:pPr>
        <w:pStyle w:val="ListParagraph"/>
        <w:numPr>
          <w:ilvl w:val="0"/>
          <w:numId w:val="2"/>
        </w:numPr>
      </w:pPr>
      <w:r>
        <w:t xml:space="preserve">Leica </w:t>
      </w:r>
      <w:proofErr w:type="spellStart"/>
      <w:r>
        <w:t>Stellaris</w:t>
      </w:r>
      <w:proofErr w:type="spellEnd"/>
      <w:r>
        <w:t xml:space="preserve"> 5 Confocal Microscope System</w:t>
      </w:r>
    </w:p>
    <w:p w:rsidR="004C68F5" w:rsidRDefault="004C68F5" w:rsidP="004C68F5">
      <w:pPr>
        <w:pStyle w:val="ListParagraph"/>
        <w:numPr>
          <w:ilvl w:val="0"/>
          <w:numId w:val="2"/>
        </w:numPr>
      </w:pPr>
      <w:r>
        <w:t>Keyence BZ-X710 Fluorescence Microscope</w:t>
      </w:r>
    </w:p>
    <w:p w:rsidR="004C68F5" w:rsidRDefault="004C68F5" w:rsidP="004C68F5">
      <w:r>
        <w:t>The CQLS hosts shared instruments available for use after training by CQLS staff including:</w:t>
      </w:r>
    </w:p>
    <w:p w:rsidR="004C68F5" w:rsidRDefault="004C68F5" w:rsidP="004C68F5">
      <w:pPr>
        <w:pStyle w:val="ListParagraph"/>
        <w:numPr>
          <w:ilvl w:val="0"/>
          <w:numId w:val="2"/>
        </w:numPr>
      </w:pPr>
      <w:proofErr w:type="spellStart"/>
      <w:r>
        <w:t>BioTek</w:t>
      </w:r>
      <w:proofErr w:type="spellEnd"/>
      <w:r>
        <w:t xml:space="preserve"> Synergy H1 Hybrid Multi-Mode Plate Reader </w:t>
      </w:r>
    </w:p>
    <w:p w:rsidR="004C68F5" w:rsidRDefault="004C68F5" w:rsidP="004C68F5">
      <w:pPr>
        <w:pStyle w:val="ListParagraph"/>
        <w:numPr>
          <w:ilvl w:val="0"/>
          <w:numId w:val="2"/>
        </w:numPr>
      </w:pPr>
      <w:r>
        <w:t xml:space="preserve">Azure Biosystems c600 Imaging system; </w:t>
      </w:r>
    </w:p>
    <w:p w:rsidR="004C68F5" w:rsidRDefault="004C68F5" w:rsidP="004C68F5">
      <w:pPr>
        <w:pStyle w:val="ListParagraph"/>
        <w:numPr>
          <w:ilvl w:val="0"/>
          <w:numId w:val="2"/>
        </w:numPr>
      </w:pPr>
      <w:r>
        <w:t xml:space="preserve">Qiagen </w:t>
      </w:r>
      <w:proofErr w:type="spellStart"/>
      <w:r>
        <w:t>TissueLyser</w:t>
      </w:r>
      <w:proofErr w:type="spellEnd"/>
      <w:r>
        <w:t xml:space="preserve"> II</w:t>
      </w:r>
    </w:p>
    <w:p w:rsidR="004C68F5" w:rsidRDefault="004C68F5" w:rsidP="004C68F5">
      <w:pPr>
        <w:pStyle w:val="ListParagraph"/>
        <w:numPr>
          <w:ilvl w:val="0"/>
          <w:numId w:val="2"/>
        </w:numPr>
      </w:pPr>
      <w:r>
        <w:lastRenderedPageBreak/>
        <w:t>Thermo Fisher Scientific ABI 7500 FAST Real-Time PCR System</w:t>
      </w:r>
      <w:r>
        <w:tab/>
      </w:r>
      <w:r>
        <w:tab/>
      </w:r>
    </w:p>
    <w:p w:rsidR="004C68F5" w:rsidRDefault="004C68F5" w:rsidP="004C68F5">
      <w:pPr>
        <w:pStyle w:val="ListParagraph"/>
        <w:numPr>
          <w:ilvl w:val="0"/>
          <w:numId w:val="2"/>
        </w:numPr>
      </w:pPr>
      <w:r>
        <w:t xml:space="preserve">Thermo Fisher Scientific </w:t>
      </w:r>
      <w:proofErr w:type="spellStart"/>
      <w:r>
        <w:t>QuantStudio</w:t>
      </w:r>
      <w:proofErr w:type="spellEnd"/>
      <w:r>
        <w:t>™ Absolute Q™ Digital PCR System</w:t>
      </w:r>
    </w:p>
    <w:p w:rsidR="004C68F5" w:rsidRDefault="004C68F5" w:rsidP="004C68F5">
      <w:pPr>
        <w:pStyle w:val="ListParagraph"/>
        <w:numPr>
          <w:ilvl w:val="0"/>
          <w:numId w:val="2"/>
        </w:numPr>
      </w:pPr>
      <w:r>
        <w:t>Thermo Fisher Scientific Qubit Fluorometer</w:t>
      </w:r>
    </w:p>
    <w:p w:rsidR="004C68F5" w:rsidRDefault="004C68F5" w:rsidP="004C68F5">
      <w:pPr>
        <w:pStyle w:val="ListParagraph"/>
        <w:numPr>
          <w:ilvl w:val="0"/>
          <w:numId w:val="2"/>
        </w:numPr>
      </w:pPr>
      <w:r>
        <w:t xml:space="preserve">Thermo Fisher Scientific </w:t>
      </w:r>
      <w:proofErr w:type="spellStart"/>
      <w:r>
        <w:t>NanoDrop</w:t>
      </w:r>
      <w:proofErr w:type="spellEnd"/>
      <w:r>
        <w:t>™ One/</w:t>
      </w:r>
      <w:proofErr w:type="spellStart"/>
      <w:r>
        <w:t>OneC</w:t>
      </w:r>
      <w:proofErr w:type="spellEnd"/>
      <w:r>
        <w:t xml:space="preserve"> Microvolume UV-Vis Spectrophotomet</w:t>
      </w:r>
      <w:r>
        <w:t>er</w:t>
      </w:r>
    </w:p>
    <w:p w:rsidR="004C68F5" w:rsidRDefault="004C68F5" w:rsidP="004C68F5">
      <w:r>
        <w:t>CQLS lab staff (Katie Carter, Mark Dasenko, Anne-Marie Girard, Elizabeth Zepeda) are also available to provide collaborative custom laboratory services.</w:t>
      </w:r>
    </w:p>
    <w:p w:rsidR="00A5777D" w:rsidRDefault="00A5777D" w:rsidP="00A5777D">
      <w:pPr>
        <w:pStyle w:val="Heading2"/>
      </w:pPr>
      <w:r>
        <w:t>CQLS Bioinformatics, Data Sciences, and Biocomputing Facilities and Equipment</w:t>
      </w:r>
    </w:p>
    <w:p w:rsidR="00A5777D" w:rsidRDefault="00A5777D" w:rsidP="00A5777D">
      <w:r>
        <w:t>The CQLS employs seven full-time staff and one part-time statistician dedicated to biocomputing and bioinformatics and data sciences:</w:t>
      </w:r>
    </w:p>
    <w:p w:rsidR="00A5777D" w:rsidRDefault="00A5777D" w:rsidP="00A5777D">
      <w:pPr>
        <w:pStyle w:val="ListParagraph"/>
        <w:numPr>
          <w:ilvl w:val="0"/>
          <w:numId w:val="2"/>
        </w:numPr>
      </w:pPr>
      <w:r>
        <w:t>One statistician and microbiome expert: Professor Yuan Jiang</w:t>
      </w:r>
    </w:p>
    <w:p w:rsidR="00A5777D" w:rsidRDefault="00A5777D" w:rsidP="00A5777D">
      <w:pPr>
        <w:pStyle w:val="ListParagraph"/>
        <w:numPr>
          <w:ilvl w:val="0"/>
          <w:numId w:val="2"/>
        </w:numPr>
      </w:pPr>
      <w:r>
        <w:t>Two bioinformatics analysts: Brent Kronmiller, Ed Davis</w:t>
      </w:r>
    </w:p>
    <w:p w:rsidR="00A5777D" w:rsidRDefault="00A5777D" w:rsidP="00A5777D">
      <w:pPr>
        <w:pStyle w:val="ListParagraph"/>
        <w:numPr>
          <w:ilvl w:val="0"/>
          <w:numId w:val="2"/>
        </w:numPr>
      </w:pPr>
      <w:r>
        <w:t>Six bioinformatics analysts/trainers: Andrew Black, Steven Carrell, Konstantin Divilov, Justin Elser, Sam Talbot, Bing Wang</w:t>
      </w:r>
    </w:p>
    <w:p w:rsidR="00A5777D" w:rsidRDefault="00A5777D" w:rsidP="00A5777D">
      <w:pPr>
        <w:pStyle w:val="ListParagraph"/>
        <w:numPr>
          <w:ilvl w:val="0"/>
          <w:numId w:val="2"/>
        </w:numPr>
      </w:pPr>
      <w:r>
        <w:t>Two computational scientists: Kenneth Lett and Maximillian Schmidt</w:t>
      </w:r>
    </w:p>
    <w:p w:rsidR="00A5777D" w:rsidRDefault="00A5777D" w:rsidP="00A5777D">
      <w:r>
        <w:t xml:space="preserve">This staff has extensive expertise in DNA sequence analysis including genome sequencing, </w:t>
      </w:r>
      <w:proofErr w:type="spellStart"/>
      <w:r>
        <w:t>RNAseq</w:t>
      </w:r>
      <w:proofErr w:type="spellEnd"/>
      <w:r>
        <w:t xml:space="preserve"> and genotyping-by-sequencing, meta-bar-coding biological databases, bioinformatics applications, software development, and computational systems integration. The CQLS encourages researchers to invest in computational hardware that will be integrated into the overall fabric of the infrastructure. The CQLS computational staff work together with the individual researchers to find and build computational hardware that is optimized to answer the questions posed by the research work it supports. </w:t>
      </w:r>
    </w:p>
    <w:p w:rsidR="00A5777D" w:rsidRDefault="00A5777D" w:rsidP="00A5777D">
      <w:r>
        <w:t xml:space="preserve">The overarching goal of the CQLS Bioinformatics and Biocomputing group is to facilitate biological research through the use of computational tools. Services provided by the Bioinformatics and Biocomputing group include: processing of high throughput DNA sequence (HTS) data; processing of large data sets using deep learning technologies; provision of data management software including tools and procedures for analysis and distribution of HTS and biological imaging data; setup, optimization, maintenance and backup of the research computers owned by investigators and housed in the CQLS server room; access to grid computing resources on the CQLS cluster or on external clusters; access to FPGA and GPU technology; access to virtual servers with web, database, and data science services; training of investigators in programming and use of bioinformatics software; hosting a large variety of in-house and commercial bioinformatics tools; statistical consultation, experimental design and analysis; and collaborative research. </w:t>
      </w:r>
    </w:p>
    <w:p w:rsidR="00A5777D" w:rsidRDefault="00A5777D" w:rsidP="00A5777D">
      <w:r>
        <w:t xml:space="preserve">The CQLS’s biocomputing infrastructure includes a distributed service architecture, a large compute cluster, a secure network and </w:t>
      </w:r>
      <w:r>
        <w:t>climate-controlled</w:t>
      </w:r>
      <w:r>
        <w:t xml:space="preserve"> server spaces. The current research architecture contains:</w:t>
      </w:r>
      <w:bookmarkStart w:id="0" w:name="_GoBack"/>
      <w:bookmarkEnd w:id="0"/>
    </w:p>
    <w:p w:rsidR="00A5777D" w:rsidRDefault="00A5777D" w:rsidP="00A5777D">
      <w:pPr>
        <w:pStyle w:val="ListParagraph"/>
        <w:numPr>
          <w:ilvl w:val="0"/>
          <w:numId w:val="2"/>
        </w:numPr>
      </w:pPr>
      <w:r>
        <w:t>&gt;9 petabyte redundant storage</w:t>
      </w:r>
    </w:p>
    <w:p w:rsidR="00A5777D" w:rsidRDefault="00A5777D" w:rsidP="00A5777D">
      <w:pPr>
        <w:pStyle w:val="ListParagraph"/>
        <w:numPr>
          <w:ilvl w:val="0"/>
          <w:numId w:val="2"/>
        </w:numPr>
      </w:pPr>
      <w:r>
        <w:t>7144 processor cluster</w:t>
      </w:r>
    </w:p>
    <w:p w:rsidR="00A5777D" w:rsidRDefault="00A5777D" w:rsidP="00A5777D">
      <w:pPr>
        <w:pStyle w:val="ListParagraph"/>
        <w:numPr>
          <w:ilvl w:val="0"/>
          <w:numId w:val="2"/>
        </w:numPr>
      </w:pPr>
      <w:r>
        <w:t>40/100 Gbps network backbone</w:t>
      </w:r>
    </w:p>
    <w:p w:rsidR="00A5777D" w:rsidRDefault="00A5777D" w:rsidP="00A5777D">
      <w:pPr>
        <w:pStyle w:val="ListParagraph"/>
        <w:numPr>
          <w:ilvl w:val="0"/>
          <w:numId w:val="2"/>
        </w:numPr>
      </w:pPr>
      <w:r>
        <w:t>40 Gbps network for HTS and Backup file servers</w:t>
      </w:r>
    </w:p>
    <w:p w:rsidR="00A5777D" w:rsidRDefault="00A5777D" w:rsidP="00A5777D">
      <w:pPr>
        <w:pStyle w:val="ListParagraph"/>
        <w:numPr>
          <w:ilvl w:val="0"/>
          <w:numId w:val="2"/>
        </w:numPr>
      </w:pPr>
      <w:r>
        <w:t>100 Gbps access to campus-wide science DMZ and internet2</w:t>
      </w:r>
    </w:p>
    <w:p w:rsidR="00A5777D" w:rsidRDefault="00A5777D" w:rsidP="00A5777D">
      <w:pPr>
        <w:pStyle w:val="ListParagraph"/>
        <w:numPr>
          <w:ilvl w:val="0"/>
          <w:numId w:val="2"/>
        </w:numPr>
      </w:pPr>
      <w:r>
        <w:t>1 and 10 Gbps network for all nodes</w:t>
      </w:r>
    </w:p>
    <w:p w:rsidR="00A5777D" w:rsidRDefault="00A5777D" w:rsidP="00A5777D">
      <w:pPr>
        <w:pStyle w:val="ListParagraph"/>
        <w:numPr>
          <w:ilvl w:val="0"/>
          <w:numId w:val="2"/>
        </w:numPr>
      </w:pPr>
      <w:r>
        <w:lastRenderedPageBreak/>
        <w:t>120 kVA Uninterruptible Power Supply (UPS)</w:t>
      </w:r>
    </w:p>
    <w:p w:rsidR="00A5777D" w:rsidRDefault="00A5777D" w:rsidP="00A5777D">
      <w:pPr>
        <w:pStyle w:val="ListParagraph"/>
        <w:numPr>
          <w:ilvl w:val="0"/>
          <w:numId w:val="2"/>
        </w:numPr>
      </w:pPr>
      <w:r>
        <w:t>120 kW building generator</w:t>
      </w:r>
    </w:p>
    <w:p w:rsidR="00A5777D" w:rsidRDefault="00A5777D" w:rsidP="00A5777D">
      <w:pPr>
        <w:pStyle w:val="ListParagraph"/>
        <w:numPr>
          <w:ilvl w:val="0"/>
          <w:numId w:val="2"/>
        </w:numPr>
      </w:pPr>
      <w:r>
        <w:t>17 ton of air handling</w:t>
      </w:r>
    </w:p>
    <w:p w:rsidR="00A5777D" w:rsidRDefault="00A5777D" w:rsidP="00A5777D">
      <w:r>
        <w:t xml:space="preserve">The CQLS also hosts the Advanced Cyberinfrastructure Teaching Facility (ACTF), a dedicated set of high-performance computing resources dedicated to instruction in bioinformatics and data sciences. The ACTF also includes enterprise-grade webserver and related hosting resources. The CQLS utilizes the ACTF and employs dedicated staff for training in biocomputing in topics including data management and curation, programming and software development, and analysis of next-generation sequencing data (RNA-Seq, GBS-Seq, and Metagenomics). CQLS staff additionally provide access to the ACTF for non-CQLS training workshops or classes needing computational support, including training instructors in its use. </w:t>
      </w:r>
    </w:p>
    <w:p w:rsidR="00A5777D" w:rsidRDefault="00A5777D" w:rsidP="00A5777D">
      <w:r>
        <w:t>Wildwood HPC cluster</w:t>
      </w:r>
    </w:p>
    <w:p w:rsidR="00A5777D" w:rsidRDefault="00A5777D" w:rsidP="00A5777D">
      <w:r>
        <w:t>The GENOME general purpose HPC cluster is designed to address a broad range of computational requirements. The main research cluster is constantly changing and has over 100 processing machines that with over 5000 threads, 100 Gbps Networking, and over 7PB of usable redundant research storage.</w:t>
      </w:r>
    </w:p>
    <w:p w:rsidR="00A5777D" w:rsidRDefault="00A5777D" w:rsidP="00A5777D">
      <w:r>
        <w:t>Two login nodes and two management nodes head nodes</w:t>
      </w:r>
    </w:p>
    <w:p w:rsidR="00A5777D" w:rsidRDefault="00A5777D" w:rsidP="00A5777D">
      <w:r>
        <w:t>•</w:t>
      </w:r>
      <w:r>
        <w:tab/>
        <w:t>4x AMD Opteron 6376, 16 cores @ 2.3 GHz</w:t>
      </w:r>
    </w:p>
    <w:p w:rsidR="00A5777D" w:rsidRDefault="00A5777D" w:rsidP="00A5777D">
      <w:r>
        <w:t>•</w:t>
      </w:r>
      <w:r>
        <w:tab/>
        <w:t>128GB 3200 MHz RAM</w:t>
      </w:r>
    </w:p>
    <w:sectPr w:rsidR="00A577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C0650"/>
    <w:multiLevelType w:val="hybridMultilevel"/>
    <w:tmpl w:val="DA96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3C689E"/>
    <w:multiLevelType w:val="hybridMultilevel"/>
    <w:tmpl w:val="87DEDB48"/>
    <w:lvl w:ilvl="0" w:tplc="137CC40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B16898"/>
    <w:multiLevelType w:val="hybridMultilevel"/>
    <w:tmpl w:val="2168EAFE"/>
    <w:lvl w:ilvl="0" w:tplc="137CC402">
      <w:numFmt w:val="bullet"/>
      <w:lvlText w:val="•"/>
      <w:lvlJc w:val="left"/>
      <w:pPr>
        <w:ind w:left="1080" w:hanging="720"/>
      </w:pPr>
      <w:rPr>
        <w:rFonts w:ascii="Calibri" w:eastAsiaTheme="minorHAnsi" w:hAnsi="Calibri" w:cs="Calibri" w:hint="default"/>
      </w:rPr>
    </w:lvl>
    <w:lvl w:ilvl="1" w:tplc="E39C9844">
      <w:start w:val="1"/>
      <w:numFmt w:val="bullet"/>
      <w:lvlText w:val="o"/>
      <w:lvlJc w:val="left"/>
      <w:pPr>
        <w:ind w:left="1800" w:hanging="72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9A7F2E"/>
    <w:multiLevelType w:val="hybridMultilevel"/>
    <w:tmpl w:val="C9789332"/>
    <w:lvl w:ilvl="0" w:tplc="137CC40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726045"/>
    <w:multiLevelType w:val="hybridMultilevel"/>
    <w:tmpl w:val="FBFCA9B0"/>
    <w:lvl w:ilvl="0" w:tplc="E39C984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901696"/>
    <w:multiLevelType w:val="hybridMultilevel"/>
    <w:tmpl w:val="56823242"/>
    <w:lvl w:ilvl="0" w:tplc="137CC40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8F5"/>
    <w:rsid w:val="004C68F5"/>
    <w:rsid w:val="00A5777D"/>
    <w:rsid w:val="00E44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BFB0D"/>
  <w15:chartTrackingRefBased/>
  <w15:docId w15:val="{1BE5A3B2-4C12-4736-8628-5DE4A603F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68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C68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5777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8F5"/>
    <w:pPr>
      <w:ind w:left="720"/>
      <w:contextualSpacing/>
    </w:pPr>
  </w:style>
  <w:style w:type="character" w:customStyle="1" w:styleId="Heading2Char">
    <w:name w:val="Heading 2 Char"/>
    <w:basedOn w:val="DefaultParagraphFont"/>
    <w:link w:val="Heading2"/>
    <w:uiPriority w:val="9"/>
    <w:rsid w:val="004C68F5"/>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4C68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5777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Girard-Pohjanpelto, Anne-Marie</dc:creator>
  <cp:keywords/>
  <dc:description/>
  <cp:lastModifiedBy>Girard-Pohjanpelto, Anne-Marie</cp:lastModifiedBy>
  <cp:revision>2</cp:revision>
  <dcterms:created xsi:type="dcterms:W3CDTF">2026-05-15T18:03:00Z</dcterms:created>
  <dcterms:modified xsi:type="dcterms:W3CDTF">2026-05-15T18:20:00Z</dcterms:modified>
</cp:coreProperties>
</file>