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8E5" w14:textId="0DFC8B48" w:rsidR="008E0859" w:rsidRDefault="00821BF5" w:rsidP="00E30798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Fee Planning Guide-</w:t>
      </w:r>
      <w:r w:rsidR="008E0859" w:rsidRPr="0044636D">
        <w:rPr>
          <w:rFonts w:ascii="Arial" w:eastAsia="Times New Roman" w:hAnsi="Arial" w:cs="Arial"/>
          <w:b/>
          <w:bCs/>
        </w:rPr>
        <w:t>U</w:t>
      </w:r>
      <w:r w:rsidR="008E0859" w:rsidRPr="00FD7DC2">
        <w:rPr>
          <w:rFonts w:ascii="Arial" w:eastAsia="Times New Roman" w:hAnsi="Arial" w:cs="Arial"/>
          <w:b/>
          <w:bCs/>
        </w:rPr>
        <w:t xml:space="preserve">se of </w:t>
      </w:r>
      <w:r w:rsidR="001D5FC8">
        <w:rPr>
          <w:rFonts w:ascii="Arial" w:eastAsia="Times New Roman" w:hAnsi="Arial" w:cs="Arial"/>
          <w:b/>
          <w:bCs/>
        </w:rPr>
        <w:t xml:space="preserve">MS </w:t>
      </w:r>
      <w:r w:rsidR="008E0859" w:rsidRPr="00FD7DC2">
        <w:rPr>
          <w:rFonts w:ascii="Arial" w:eastAsia="Times New Roman" w:hAnsi="Arial" w:cs="Arial"/>
          <w:b/>
          <w:bCs/>
        </w:rPr>
        <w:t>AZURE</w:t>
      </w:r>
      <w:r w:rsidR="00660FFD">
        <w:rPr>
          <w:rFonts w:ascii="Arial" w:eastAsia="Times New Roman" w:hAnsi="Arial" w:cs="Arial"/>
          <w:b/>
          <w:bCs/>
        </w:rPr>
        <w:t xml:space="preserve"> Secure Cloud for REDCap and Research Data</w:t>
      </w:r>
    </w:p>
    <w:p w14:paraId="48039247" w14:textId="2451B7FE" w:rsidR="0069770D" w:rsidRPr="00FD7DC2" w:rsidRDefault="0069770D" w:rsidP="00E30798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Proposed </w:t>
      </w:r>
      <w:r w:rsidR="00AD75B0">
        <w:rPr>
          <w:rFonts w:ascii="Arial" w:eastAsia="Times New Roman" w:hAnsi="Arial" w:cs="Arial"/>
          <w:b/>
          <w:bCs/>
        </w:rPr>
        <w:t xml:space="preserve">OSU </w:t>
      </w:r>
      <w:r>
        <w:rPr>
          <w:rFonts w:ascii="Arial" w:eastAsia="Times New Roman" w:hAnsi="Arial" w:cs="Arial"/>
          <w:b/>
          <w:bCs/>
        </w:rPr>
        <w:t xml:space="preserve">Fees </w:t>
      </w:r>
      <w:r w:rsidR="0050067B">
        <w:rPr>
          <w:rFonts w:ascii="Arial" w:eastAsia="Times New Roman" w:hAnsi="Arial" w:cs="Arial"/>
          <w:b/>
          <w:bCs/>
        </w:rPr>
        <w:t>(Updated December 2022)</w:t>
      </w:r>
    </w:p>
    <w:p w14:paraId="79C9D689" w14:textId="4F110BE8" w:rsidR="00FD7DC2" w:rsidRPr="0044636D" w:rsidRDefault="00B77B27" w:rsidP="00E30798">
      <w:p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E30798">
        <w:rPr>
          <w:rFonts w:ascii="Arial" w:eastAsia="Times New Roman" w:hAnsi="Arial" w:cs="Arial"/>
          <w:b/>
          <w:bCs/>
          <w:i/>
          <w:iCs/>
          <w:u w:val="single"/>
        </w:rPr>
        <w:t>Before a Project Begins</w:t>
      </w:r>
      <w:r>
        <w:rPr>
          <w:rFonts w:ascii="Arial" w:eastAsia="Times New Roman" w:hAnsi="Arial" w:cs="Arial"/>
        </w:rPr>
        <w:t>-</w:t>
      </w:r>
      <w:r w:rsidR="00FD7DC2" w:rsidRPr="0044636D">
        <w:rPr>
          <w:rFonts w:ascii="Arial" w:eastAsia="Times New Roman" w:hAnsi="Arial" w:cs="Arial"/>
        </w:rPr>
        <w:t>FREE-1 h</w:t>
      </w:r>
      <w:r w:rsidR="004F154D" w:rsidRPr="0044636D">
        <w:rPr>
          <w:rFonts w:ascii="Arial" w:eastAsia="Times New Roman" w:hAnsi="Arial" w:cs="Arial"/>
        </w:rPr>
        <w:t>o</w:t>
      </w:r>
      <w:r w:rsidR="00FD7DC2" w:rsidRPr="0044636D">
        <w:rPr>
          <w:rFonts w:ascii="Arial" w:eastAsia="Times New Roman" w:hAnsi="Arial" w:cs="Arial"/>
        </w:rPr>
        <w:t xml:space="preserve">ur </w:t>
      </w:r>
      <w:r w:rsidR="001D5FC8">
        <w:rPr>
          <w:rFonts w:ascii="Arial" w:eastAsia="Times New Roman" w:hAnsi="Arial" w:cs="Arial"/>
        </w:rPr>
        <w:t xml:space="preserve">CQLS </w:t>
      </w:r>
      <w:r w:rsidR="00FD7DC2" w:rsidRPr="0044636D">
        <w:rPr>
          <w:rFonts w:ascii="Arial" w:eastAsia="Times New Roman" w:hAnsi="Arial" w:cs="Arial"/>
        </w:rPr>
        <w:t>consulting</w:t>
      </w:r>
      <w:r>
        <w:rPr>
          <w:rFonts w:ascii="Arial" w:eastAsia="Times New Roman" w:hAnsi="Arial" w:cs="Arial"/>
        </w:rPr>
        <w:t xml:space="preserve"> and getting a fee quote</w:t>
      </w:r>
    </w:p>
    <w:p w14:paraId="73EAEC00" w14:textId="35DB557B" w:rsidR="00B77B27" w:rsidRDefault="00F21240" w:rsidP="00E3079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u w:val="single"/>
        </w:rPr>
        <w:t>Project Set up and Ongoing</w:t>
      </w:r>
    </w:p>
    <w:p w14:paraId="611B7543" w14:textId="56BC0BCA" w:rsidR="00FD7DC2" w:rsidRPr="0044636D" w:rsidRDefault="00B77B27" w:rsidP="00E3079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F21240">
        <w:rPr>
          <w:rFonts w:ascii="Arial" w:eastAsia="Times New Roman" w:hAnsi="Arial" w:cs="Arial"/>
        </w:rPr>
        <w:t xml:space="preserve">CQLS </w:t>
      </w:r>
      <w:r w:rsidR="00FD7DC2" w:rsidRPr="0044636D">
        <w:rPr>
          <w:rFonts w:ascii="Arial" w:eastAsia="Times New Roman" w:hAnsi="Arial" w:cs="Arial"/>
        </w:rPr>
        <w:t>Consulting</w:t>
      </w:r>
      <w:r w:rsidR="004F154D" w:rsidRPr="0044636D">
        <w:rPr>
          <w:rFonts w:ascii="Arial" w:eastAsia="Times New Roman" w:hAnsi="Arial" w:cs="Arial"/>
        </w:rPr>
        <w:t xml:space="preserve"> and support</w:t>
      </w:r>
      <w:r w:rsidR="00F21240">
        <w:rPr>
          <w:rFonts w:ascii="Arial" w:eastAsia="Times New Roman" w:hAnsi="Arial" w:cs="Arial"/>
        </w:rPr>
        <w:t xml:space="preserve"> set up and ongoing</w:t>
      </w:r>
      <w:r w:rsidR="00660FFD">
        <w:rPr>
          <w:rFonts w:ascii="Arial" w:eastAsia="Times New Roman" w:hAnsi="Arial" w:cs="Arial"/>
        </w:rPr>
        <w:t>:</w:t>
      </w:r>
      <w:r w:rsidR="0044636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a. </w:t>
      </w:r>
      <w:r w:rsidR="004F154D" w:rsidRPr="0044636D">
        <w:rPr>
          <w:rFonts w:ascii="Arial" w:eastAsia="Times New Roman" w:hAnsi="Arial" w:cs="Arial"/>
        </w:rPr>
        <w:t>Standard fee--</w:t>
      </w:r>
      <w:r w:rsidR="00FD7DC2" w:rsidRPr="00AD75B0">
        <w:rPr>
          <w:rFonts w:ascii="Arial" w:eastAsia="Times New Roman" w:hAnsi="Arial" w:cs="Arial"/>
          <w:b/>
          <w:bCs/>
        </w:rPr>
        <w:t xml:space="preserve">4hr set up </w:t>
      </w:r>
      <w:r w:rsidR="004F154D" w:rsidRPr="00AD75B0">
        <w:rPr>
          <w:rFonts w:ascii="Arial" w:eastAsia="Times New Roman" w:hAnsi="Arial" w:cs="Arial"/>
          <w:b/>
          <w:bCs/>
        </w:rPr>
        <w:t xml:space="preserve">($360) </w:t>
      </w:r>
      <w:r w:rsidR="00FD7DC2" w:rsidRPr="00AD75B0">
        <w:rPr>
          <w:rFonts w:ascii="Arial" w:eastAsia="Times New Roman" w:hAnsi="Arial" w:cs="Arial"/>
          <w:b/>
          <w:bCs/>
        </w:rPr>
        <w:t>and 1 hour monthly</w:t>
      </w:r>
      <w:r w:rsidR="004F154D" w:rsidRPr="00AD75B0">
        <w:rPr>
          <w:rFonts w:ascii="Arial" w:eastAsia="Times New Roman" w:hAnsi="Arial" w:cs="Arial"/>
          <w:b/>
          <w:bCs/>
        </w:rPr>
        <w:t xml:space="preserve"> ($90/month)</w:t>
      </w:r>
      <w:r w:rsidR="004F154D" w:rsidRPr="0044636D">
        <w:rPr>
          <w:rFonts w:ascii="Arial" w:eastAsia="Times New Roman" w:hAnsi="Arial" w:cs="Arial"/>
        </w:rPr>
        <w:t xml:space="preserve"> (</w:t>
      </w:r>
      <w:r w:rsidR="008E0859" w:rsidRPr="0044636D">
        <w:rPr>
          <w:rFonts w:ascii="Arial" w:eastAsia="Times New Roman" w:hAnsi="Arial" w:cs="Arial"/>
        </w:rPr>
        <w:t>usual</w:t>
      </w:r>
      <w:r w:rsidR="004F154D" w:rsidRPr="0044636D">
        <w:rPr>
          <w:rFonts w:ascii="Arial" w:eastAsia="Times New Roman" w:hAnsi="Arial" w:cs="Arial"/>
        </w:rPr>
        <w:t xml:space="preserve"> CQLS </w:t>
      </w:r>
      <w:r w:rsidR="008E0859" w:rsidRPr="0044636D">
        <w:rPr>
          <w:rFonts w:ascii="Arial" w:eastAsia="Times New Roman" w:hAnsi="Arial" w:cs="Arial"/>
        </w:rPr>
        <w:t xml:space="preserve">consulting </w:t>
      </w:r>
      <w:r w:rsidR="004F154D" w:rsidRPr="0044636D">
        <w:rPr>
          <w:rFonts w:ascii="Arial" w:eastAsia="Times New Roman" w:hAnsi="Arial" w:cs="Arial"/>
        </w:rPr>
        <w:t>fee)</w:t>
      </w:r>
    </w:p>
    <w:p w14:paraId="23693B65" w14:textId="33168AB6" w:rsidR="008E0859" w:rsidRDefault="00B77B27" w:rsidP="00E3079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b. </w:t>
      </w:r>
      <w:r w:rsidR="008E0859" w:rsidRPr="0044636D">
        <w:rPr>
          <w:rFonts w:ascii="Arial" w:eastAsia="Times New Roman" w:hAnsi="Arial" w:cs="Arial"/>
        </w:rPr>
        <w:t>Custom work would be charge</w:t>
      </w:r>
      <w:r>
        <w:rPr>
          <w:rFonts w:ascii="Arial" w:eastAsia="Times New Roman" w:hAnsi="Arial" w:cs="Arial"/>
        </w:rPr>
        <w:t>d</w:t>
      </w:r>
      <w:r w:rsidR="008E0859" w:rsidRPr="0044636D">
        <w:rPr>
          <w:rFonts w:ascii="Arial" w:eastAsia="Times New Roman" w:hAnsi="Arial" w:cs="Arial"/>
        </w:rPr>
        <w:t xml:space="preserve"> in addition to the standard fee.</w:t>
      </w:r>
    </w:p>
    <w:p w14:paraId="21517273" w14:textId="77777777" w:rsidR="0044636D" w:rsidRDefault="0044636D" w:rsidP="00E30798">
      <w:pPr>
        <w:spacing w:after="0" w:line="360" w:lineRule="auto"/>
        <w:rPr>
          <w:rFonts w:ascii="Arial" w:eastAsia="Times New Roman" w:hAnsi="Arial" w:cs="Arial"/>
        </w:rPr>
      </w:pPr>
    </w:p>
    <w:p w14:paraId="478ADAAB" w14:textId="292970DB" w:rsidR="008E0859" w:rsidRDefault="00B77B27" w:rsidP="00E3079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9E4218">
        <w:rPr>
          <w:rFonts w:ascii="Arial" w:eastAsia="Times New Roman" w:hAnsi="Arial" w:cs="Arial"/>
        </w:rPr>
        <w:t xml:space="preserve">MS/AZURE </w:t>
      </w:r>
      <w:r w:rsidR="008E0859" w:rsidRPr="0044636D">
        <w:rPr>
          <w:rFonts w:ascii="Arial" w:eastAsia="Times New Roman" w:hAnsi="Arial" w:cs="Arial"/>
        </w:rPr>
        <w:t>Cloud set up and ongoing:</w:t>
      </w:r>
    </w:p>
    <w:p w14:paraId="3D5341AC" w14:textId="77777777" w:rsidR="009E4218" w:rsidRDefault="00B77B27" w:rsidP="00E3079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</w:t>
      </w:r>
      <w:r w:rsidR="008E0859" w:rsidRPr="0044636D">
        <w:rPr>
          <w:rFonts w:ascii="Arial" w:eastAsia="Times New Roman" w:hAnsi="Arial" w:cs="Arial"/>
        </w:rPr>
        <w:t>Standard</w:t>
      </w:r>
      <w:r w:rsidR="00FD7DC2" w:rsidRPr="0044636D">
        <w:rPr>
          <w:rFonts w:ascii="Arial" w:eastAsia="Times New Roman" w:hAnsi="Arial" w:cs="Arial"/>
        </w:rPr>
        <w:t xml:space="preserve"> </w:t>
      </w:r>
      <w:r w:rsidR="00F21240">
        <w:rPr>
          <w:rFonts w:ascii="Arial" w:eastAsia="Times New Roman" w:hAnsi="Arial" w:cs="Arial"/>
        </w:rPr>
        <w:t xml:space="preserve">estimated at </w:t>
      </w:r>
    </w:p>
    <w:p w14:paraId="1CE6123A" w14:textId="717F779E" w:rsidR="009E4218" w:rsidRDefault="009E4218" w:rsidP="009E4218">
      <w:pPr>
        <w:spacing w:after="0"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1) </w:t>
      </w:r>
      <w:r w:rsidR="00FD7DC2" w:rsidRPr="00AD75B0">
        <w:rPr>
          <w:rFonts w:ascii="Arial" w:eastAsia="Times New Roman" w:hAnsi="Arial" w:cs="Arial"/>
          <w:b/>
          <w:bCs/>
        </w:rPr>
        <w:t>$500/month</w:t>
      </w:r>
      <w:r>
        <w:rPr>
          <w:rFonts w:ascii="Arial" w:eastAsia="Times New Roman" w:hAnsi="Arial" w:cs="Arial"/>
          <w:b/>
          <w:bCs/>
        </w:rPr>
        <w:t xml:space="preserve"> </w:t>
      </w:r>
      <w:r w:rsidRPr="009E4218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  <w:b/>
          <w:bCs/>
        </w:rPr>
        <w:t>REDCAP plus data management</w:t>
      </w:r>
    </w:p>
    <w:p w14:paraId="3216F371" w14:textId="5E294D18" w:rsidR="009E4218" w:rsidRDefault="009E4218" w:rsidP="009E4218">
      <w:pPr>
        <w:spacing w:after="0"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2) </w:t>
      </w:r>
      <w:r w:rsidRPr="009E4218">
        <w:rPr>
          <w:rFonts w:ascii="Arial" w:eastAsia="Times New Roman" w:hAnsi="Arial" w:cs="Arial"/>
          <w:b/>
          <w:bCs/>
        </w:rPr>
        <w:t>$350/month</w:t>
      </w:r>
      <w:r>
        <w:rPr>
          <w:rFonts w:ascii="Arial" w:eastAsia="Times New Roman" w:hAnsi="Arial" w:cs="Arial"/>
        </w:rPr>
        <w:t xml:space="preserve"> for </w:t>
      </w:r>
      <w:r w:rsidRPr="009E4218">
        <w:rPr>
          <w:rFonts w:ascii="Arial" w:eastAsia="Times New Roman" w:hAnsi="Arial" w:cs="Arial"/>
          <w:b/>
          <w:bCs/>
        </w:rPr>
        <w:t xml:space="preserve">data storage and management </w:t>
      </w:r>
      <w:r w:rsidRPr="009E4218">
        <w:rPr>
          <w:rFonts w:ascii="Arial" w:eastAsia="Times New Roman" w:hAnsi="Arial" w:cs="Arial"/>
        </w:rPr>
        <w:t>without REDCap</w:t>
      </w:r>
    </w:p>
    <w:p w14:paraId="6538ECDB" w14:textId="3BBF5DFF" w:rsidR="00FD7DC2" w:rsidRPr="009E4218" w:rsidRDefault="009E4218" w:rsidP="009E421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These are  MS/</w:t>
      </w:r>
      <w:r w:rsidR="004F154D" w:rsidRPr="009E4218">
        <w:rPr>
          <w:rFonts w:ascii="Arial" w:eastAsia="Times New Roman" w:hAnsi="Arial" w:cs="Arial"/>
        </w:rPr>
        <w:t>AZURE fee</w:t>
      </w:r>
      <w:r>
        <w:rPr>
          <w:rFonts w:ascii="Arial" w:eastAsia="Times New Roman" w:hAnsi="Arial" w:cs="Arial"/>
        </w:rPr>
        <w:t>s</w:t>
      </w:r>
      <w:r w:rsidR="004F154D" w:rsidRPr="009E4218">
        <w:rPr>
          <w:rFonts w:ascii="Arial" w:eastAsia="Times New Roman" w:hAnsi="Arial" w:cs="Arial"/>
        </w:rPr>
        <w:t xml:space="preserve"> routed to </w:t>
      </w:r>
      <w:r w:rsidR="008E0859" w:rsidRPr="009E4218">
        <w:rPr>
          <w:rFonts w:ascii="Arial" w:eastAsia="Times New Roman" w:hAnsi="Arial" w:cs="Arial"/>
        </w:rPr>
        <w:t>a PIs</w:t>
      </w:r>
      <w:r w:rsidR="004F154D" w:rsidRPr="009E4218">
        <w:rPr>
          <w:rFonts w:ascii="Arial" w:eastAsia="Times New Roman" w:hAnsi="Arial" w:cs="Arial"/>
        </w:rPr>
        <w:t xml:space="preserve"> index</w:t>
      </w:r>
    </w:p>
    <w:p w14:paraId="3049B420" w14:textId="755A12E0" w:rsidR="00FD7DC2" w:rsidRPr="00E30798" w:rsidRDefault="00B77B27" w:rsidP="00E3079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</w:t>
      </w:r>
      <w:r w:rsidR="008E0859" w:rsidRPr="00E30798">
        <w:rPr>
          <w:rFonts w:ascii="Arial" w:eastAsia="Times New Roman" w:hAnsi="Arial" w:cs="Arial"/>
        </w:rPr>
        <w:t xml:space="preserve">uote </w:t>
      </w:r>
      <w:r w:rsidR="00AD75B0">
        <w:rPr>
          <w:rFonts w:ascii="Arial" w:eastAsia="Times New Roman" w:hAnsi="Arial" w:cs="Arial"/>
        </w:rPr>
        <w:t xml:space="preserve">will be </w:t>
      </w:r>
      <w:r w:rsidR="008E0859" w:rsidRPr="00E30798">
        <w:rPr>
          <w:rFonts w:ascii="Arial" w:eastAsia="Times New Roman" w:hAnsi="Arial" w:cs="Arial"/>
        </w:rPr>
        <w:t>based on consult</w:t>
      </w:r>
      <w:r w:rsidR="00E17913">
        <w:rPr>
          <w:rFonts w:ascii="Arial" w:eastAsia="Times New Roman" w:hAnsi="Arial" w:cs="Arial"/>
        </w:rPr>
        <w:t>ation</w:t>
      </w:r>
      <w:r w:rsidR="008E0859" w:rsidRPr="00E30798">
        <w:rPr>
          <w:rFonts w:ascii="Arial" w:eastAsia="Times New Roman" w:hAnsi="Arial" w:cs="Arial"/>
        </w:rPr>
        <w:t xml:space="preserve"> with CQLS and current </w:t>
      </w:r>
      <w:r w:rsidR="009E4218">
        <w:rPr>
          <w:rFonts w:ascii="Arial" w:eastAsia="Times New Roman" w:hAnsi="Arial" w:cs="Arial"/>
        </w:rPr>
        <w:t>MS/</w:t>
      </w:r>
      <w:r w:rsidR="008E0859" w:rsidRPr="00E30798">
        <w:rPr>
          <w:rFonts w:ascii="Arial" w:eastAsia="Times New Roman" w:hAnsi="Arial" w:cs="Arial"/>
        </w:rPr>
        <w:t>AZURE pricing</w:t>
      </w:r>
      <w:r w:rsidR="00E30798">
        <w:rPr>
          <w:rFonts w:ascii="Arial" w:eastAsia="Times New Roman" w:hAnsi="Arial" w:cs="Arial"/>
        </w:rPr>
        <w:t>;</w:t>
      </w:r>
      <w:r w:rsidR="008E0859" w:rsidRPr="00E30798">
        <w:rPr>
          <w:rFonts w:ascii="Arial" w:eastAsia="Times New Roman" w:hAnsi="Arial" w:cs="Arial"/>
        </w:rPr>
        <w:t xml:space="preserve"> may vary </w:t>
      </w:r>
      <w:r w:rsidR="00E30798">
        <w:rPr>
          <w:rFonts w:ascii="Arial" w:eastAsia="Times New Roman" w:hAnsi="Arial" w:cs="Arial"/>
        </w:rPr>
        <w:t>monthly</w:t>
      </w:r>
    </w:p>
    <w:p w14:paraId="66C6DA0E" w14:textId="4B95B183" w:rsidR="004F154D" w:rsidRPr="00E30798" w:rsidRDefault="00FD7DC2" w:rsidP="00E3079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E30798">
        <w:rPr>
          <w:rFonts w:ascii="Arial" w:eastAsia="Times New Roman" w:hAnsi="Arial" w:cs="Arial"/>
        </w:rPr>
        <w:t>Window</w:t>
      </w:r>
      <w:r w:rsidR="00E17913">
        <w:rPr>
          <w:rFonts w:ascii="Arial" w:eastAsia="Times New Roman" w:hAnsi="Arial" w:cs="Arial"/>
        </w:rPr>
        <w:t>s</w:t>
      </w:r>
      <w:r w:rsidRPr="00E30798">
        <w:rPr>
          <w:rFonts w:ascii="Arial" w:eastAsia="Times New Roman" w:hAnsi="Arial" w:cs="Arial"/>
        </w:rPr>
        <w:t xml:space="preserve"> server </w:t>
      </w:r>
      <w:r w:rsidR="008E0859" w:rsidRPr="00E30798">
        <w:rPr>
          <w:rFonts w:ascii="Arial" w:eastAsia="Times New Roman" w:hAnsi="Arial" w:cs="Arial"/>
        </w:rPr>
        <w:t xml:space="preserve">set up </w:t>
      </w:r>
      <w:r w:rsidRPr="00E30798">
        <w:rPr>
          <w:rFonts w:ascii="Arial" w:eastAsia="Times New Roman" w:hAnsi="Arial" w:cs="Arial"/>
        </w:rPr>
        <w:t>for analysis 2 CORE 8GB RAM</w:t>
      </w:r>
      <w:r w:rsidR="00030584" w:rsidRPr="00E30798">
        <w:rPr>
          <w:rFonts w:ascii="Arial" w:eastAsia="Times New Roman" w:hAnsi="Arial" w:cs="Arial"/>
        </w:rPr>
        <w:t xml:space="preserve"> (supports 2 simultaneous users)</w:t>
      </w:r>
    </w:p>
    <w:p w14:paraId="03E5C0E7" w14:textId="49B6E917" w:rsidR="008E0859" w:rsidRPr="0044636D" w:rsidRDefault="00B77B27" w:rsidP="00E30798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b. </w:t>
      </w:r>
      <w:r w:rsidR="008E0859" w:rsidRPr="0044636D">
        <w:rPr>
          <w:rFonts w:ascii="Arial" w:eastAsia="Times New Roman" w:hAnsi="Arial" w:cs="Arial"/>
        </w:rPr>
        <w:t>Custom—dependent on needs discussed and set up and would be in addition to standard.</w:t>
      </w:r>
    </w:p>
    <w:p w14:paraId="435310FC" w14:textId="4B03BC60" w:rsidR="00FD7DC2" w:rsidRPr="00E30798" w:rsidRDefault="00030584" w:rsidP="00E3079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</w:rPr>
      </w:pPr>
      <w:r w:rsidRPr="00E30798">
        <w:rPr>
          <w:rFonts w:ascii="Arial" w:eastAsia="Times New Roman" w:hAnsi="Arial" w:cs="Arial"/>
        </w:rPr>
        <w:t xml:space="preserve">If </w:t>
      </w:r>
      <w:r w:rsidR="005C082A" w:rsidRPr="00E30798">
        <w:rPr>
          <w:rFonts w:ascii="Arial" w:eastAsia="Times New Roman" w:hAnsi="Arial" w:cs="Arial"/>
        </w:rPr>
        <w:t xml:space="preserve">a project </w:t>
      </w:r>
      <w:r w:rsidRPr="00E30798">
        <w:rPr>
          <w:rFonts w:ascii="Arial" w:eastAsia="Times New Roman" w:hAnsi="Arial" w:cs="Arial"/>
        </w:rPr>
        <w:t>ha</w:t>
      </w:r>
      <w:r w:rsidR="005C082A" w:rsidRPr="00E30798">
        <w:rPr>
          <w:rFonts w:ascii="Arial" w:eastAsia="Times New Roman" w:hAnsi="Arial" w:cs="Arial"/>
        </w:rPr>
        <w:t>s</w:t>
      </w:r>
      <w:r w:rsidRPr="00E30798">
        <w:rPr>
          <w:rFonts w:ascii="Arial" w:eastAsia="Times New Roman" w:hAnsi="Arial" w:cs="Arial"/>
        </w:rPr>
        <w:t xml:space="preserve"> more users or larger data</w:t>
      </w:r>
      <w:r w:rsidR="00E17913">
        <w:rPr>
          <w:rFonts w:ascii="Arial" w:eastAsia="Times New Roman" w:hAnsi="Arial" w:cs="Arial"/>
        </w:rPr>
        <w:t xml:space="preserve"> </w:t>
      </w:r>
      <w:r w:rsidRPr="00E30798">
        <w:rPr>
          <w:rFonts w:ascii="Arial" w:eastAsia="Times New Roman" w:hAnsi="Arial" w:cs="Arial"/>
        </w:rPr>
        <w:t xml:space="preserve">sets to process, higher CPU and RAM may be required. There is no auto </w:t>
      </w:r>
      <w:r w:rsidR="005C082A" w:rsidRPr="00E30798">
        <w:rPr>
          <w:rFonts w:ascii="Arial" w:eastAsia="Times New Roman" w:hAnsi="Arial" w:cs="Arial"/>
        </w:rPr>
        <w:t>scaling,</w:t>
      </w:r>
      <w:r w:rsidRPr="00E30798">
        <w:rPr>
          <w:rFonts w:ascii="Arial" w:eastAsia="Times New Roman" w:hAnsi="Arial" w:cs="Arial"/>
        </w:rPr>
        <w:t xml:space="preserve"> so it needs to be provisioned </w:t>
      </w:r>
      <w:r w:rsidR="008E0859" w:rsidRPr="00E30798">
        <w:rPr>
          <w:rFonts w:ascii="Arial" w:eastAsia="Times New Roman" w:hAnsi="Arial" w:cs="Arial"/>
        </w:rPr>
        <w:t xml:space="preserve">or re-provisioned at any time </w:t>
      </w:r>
      <w:r w:rsidRPr="00E30798">
        <w:rPr>
          <w:rFonts w:ascii="Arial" w:eastAsia="Times New Roman" w:hAnsi="Arial" w:cs="Arial"/>
        </w:rPr>
        <w:t xml:space="preserve">ahead of </w:t>
      </w:r>
      <w:r w:rsidR="00E17913">
        <w:rPr>
          <w:rFonts w:ascii="Arial" w:eastAsia="Times New Roman" w:hAnsi="Arial" w:cs="Arial"/>
        </w:rPr>
        <w:t>when needed</w:t>
      </w:r>
      <w:r w:rsidRPr="00E30798">
        <w:rPr>
          <w:rFonts w:ascii="Arial" w:eastAsia="Times New Roman" w:hAnsi="Arial" w:cs="Arial"/>
        </w:rPr>
        <w:t>.</w:t>
      </w:r>
    </w:p>
    <w:p w14:paraId="491B0ECA" w14:textId="77777777" w:rsidR="00376E21" w:rsidRDefault="00376E21" w:rsidP="00E30798">
      <w:pPr>
        <w:spacing w:after="0" w:line="360" w:lineRule="auto"/>
        <w:rPr>
          <w:rFonts w:ascii="Arial" w:eastAsia="Times New Roman" w:hAnsi="Arial" w:cs="Arial"/>
        </w:rPr>
      </w:pPr>
    </w:p>
    <w:p w14:paraId="08AA704F" w14:textId="46BF561C" w:rsidR="00E30798" w:rsidRPr="00BF0994" w:rsidRDefault="00BF0994" w:rsidP="00E30798">
      <w:pPr>
        <w:spacing w:after="0" w:line="360" w:lineRule="auto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i/>
          <w:iCs/>
        </w:rPr>
        <w:t>E</w:t>
      </w:r>
      <w:r w:rsidR="00F21240" w:rsidRPr="00AD75B0">
        <w:rPr>
          <w:rFonts w:ascii="Arial" w:eastAsia="Times New Roman" w:hAnsi="Arial" w:cs="Arial"/>
          <w:i/>
          <w:iCs/>
        </w:rPr>
        <w:t>xample</w:t>
      </w:r>
      <w:r w:rsidR="009E4218">
        <w:rPr>
          <w:rFonts w:ascii="Arial" w:eastAsia="Times New Roman" w:hAnsi="Arial" w:cs="Arial"/>
          <w:i/>
          <w:iCs/>
        </w:rPr>
        <w:t xml:space="preserve"> 1**-- P</w:t>
      </w:r>
      <w:r w:rsidR="00F21240" w:rsidRPr="00AD75B0">
        <w:rPr>
          <w:rFonts w:ascii="Arial" w:eastAsia="Times New Roman" w:hAnsi="Arial" w:cs="Arial"/>
          <w:i/>
          <w:iCs/>
        </w:rPr>
        <w:t xml:space="preserve">lanning a </w:t>
      </w:r>
      <w:r w:rsidR="00AD75B0">
        <w:rPr>
          <w:rFonts w:ascii="Arial" w:eastAsia="Times New Roman" w:hAnsi="Arial" w:cs="Arial"/>
          <w:i/>
          <w:iCs/>
        </w:rPr>
        <w:t>one</w:t>
      </w:r>
      <w:r>
        <w:rPr>
          <w:rFonts w:ascii="Arial" w:eastAsia="Times New Roman" w:hAnsi="Arial" w:cs="Arial"/>
          <w:i/>
          <w:iCs/>
        </w:rPr>
        <w:t>-</w:t>
      </w:r>
      <w:r w:rsidR="00AD75B0">
        <w:rPr>
          <w:rFonts w:ascii="Arial" w:eastAsia="Times New Roman" w:hAnsi="Arial" w:cs="Arial"/>
          <w:i/>
          <w:iCs/>
        </w:rPr>
        <w:t xml:space="preserve">year </w:t>
      </w:r>
      <w:r>
        <w:rPr>
          <w:rFonts w:ascii="Arial" w:eastAsia="Times New Roman" w:hAnsi="Arial" w:cs="Arial"/>
          <w:i/>
          <w:iCs/>
        </w:rPr>
        <w:t xml:space="preserve">budget requiring </w:t>
      </w:r>
      <w:r w:rsidR="00AD75B0" w:rsidRPr="00BF0994">
        <w:rPr>
          <w:rFonts w:ascii="Arial" w:eastAsia="Times New Roman" w:hAnsi="Arial" w:cs="Arial"/>
          <w:b/>
          <w:bCs/>
          <w:i/>
          <w:iCs/>
        </w:rPr>
        <w:t>OSU REDCap Plus Data Management and Analysis</w:t>
      </w:r>
      <w:r>
        <w:rPr>
          <w:rFonts w:ascii="Arial" w:eastAsia="Times New Roman" w:hAnsi="Arial" w:cs="Arial"/>
          <w:b/>
          <w:bCs/>
          <w:i/>
          <w:iCs/>
        </w:rPr>
        <w:br/>
        <w:t>in the OSU MS/Azure Secure Cloud</w:t>
      </w:r>
      <w:r w:rsidR="00AD75B0" w:rsidRPr="00BF0994">
        <w:rPr>
          <w:rFonts w:ascii="Arial" w:eastAsia="Times New Roman" w:hAnsi="Arial" w:cs="Arial"/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155"/>
      </w:tblGrid>
      <w:tr w:rsidR="00F21240" w14:paraId="5953E4AE" w14:textId="77777777" w:rsidTr="00AD75B0">
        <w:tc>
          <w:tcPr>
            <w:tcW w:w="7915" w:type="dxa"/>
          </w:tcPr>
          <w:p w14:paraId="2D62F987" w14:textId="06D9CFBC" w:rsidR="00F21240" w:rsidRDefault="00F21240" w:rsidP="00E30798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Service</w:t>
            </w:r>
          </w:p>
        </w:tc>
        <w:tc>
          <w:tcPr>
            <w:tcW w:w="2155" w:type="dxa"/>
            <w:vAlign w:val="bottom"/>
          </w:tcPr>
          <w:p w14:paraId="490B80AA" w14:textId="1DA22002" w:rsidR="00F21240" w:rsidRDefault="00F21240" w:rsidP="00AD75B0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Fee Estimated</w:t>
            </w:r>
          </w:p>
        </w:tc>
      </w:tr>
      <w:tr w:rsidR="00F21240" w14:paraId="153253D3" w14:textId="77777777" w:rsidTr="00AD75B0">
        <w:tc>
          <w:tcPr>
            <w:tcW w:w="7915" w:type="dxa"/>
          </w:tcPr>
          <w:p w14:paraId="0278C8C6" w14:textId="22F49879" w:rsidR="00F21240" w:rsidRDefault="00F21240" w:rsidP="00AD75B0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CQLS </w:t>
            </w:r>
            <w:r w:rsidRPr="0044636D">
              <w:rPr>
                <w:rFonts w:ascii="Arial" w:eastAsia="Times New Roman" w:hAnsi="Arial" w:cs="Arial"/>
              </w:rPr>
              <w:t>Consulting and support</w:t>
            </w:r>
            <w:r>
              <w:rPr>
                <w:rFonts w:ascii="Arial" w:eastAsia="Times New Roman" w:hAnsi="Arial" w:cs="Arial"/>
              </w:rPr>
              <w:t xml:space="preserve"> set up</w:t>
            </w:r>
            <w:r>
              <w:rPr>
                <w:rFonts w:ascii="Arial" w:eastAsia="Times New Roman" w:hAnsi="Arial" w:cs="Arial"/>
              </w:rPr>
              <w:br/>
            </w:r>
            <w:r w:rsidRPr="0044636D">
              <w:rPr>
                <w:rFonts w:ascii="Arial" w:eastAsia="Times New Roman" w:hAnsi="Arial" w:cs="Arial"/>
              </w:rPr>
              <w:t>Standard fee--</w:t>
            </w:r>
            <w:r w:rsidRPr="00846C4B">
              <w:rPr>
                <w:rFonts w:ascii="Arial" w:eastAsia="Times New Roman" w:hAnsi="Arial" w:cs="Arial"/>
                <w:b/>
                <w:bCs/>
              </w:rPr>
              <w:t xml:space="preserve">4hr set up ($360) </w:t>
            </w:r>
          </w:p>
        </w:tc>
        <w:tc>
          <w:tcPr>
            <w:tcW w:w="2155" w:type="dxa"/>
            <w:vAlign w:val="bottom"/>
          </w:tcPr>
          <w:p w14:paraId="6EBAF412" w14:textId="6FD25B6E" w:rsidR="00F21240" w:rsidRDefault="00376E21" w:rsidP="00AD75B0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F21240">
              <w:rPr>
                <w:rFonts w:ascii="Arial" w:eastAsia="Times New Roman" w:hAnsi="Arial" w:cs="Arial"/>
              </w:rPr>
              <w:t>360</w:t>
            </w:r>
          </w:p>
        </w:tc>
      </w:tr>
      <w:tr w:rsidR="00F21240" w14:paraId="269E8BBB" w14:textId="77777777" w:rsidTr="00AD75B0">
        <w:tc>
          <w:tcPr>
            <w:tcW w:w="7915" w:type="dxa"/>
          </w:tcPr>
          <w:p w14:paraId="46C684D1" w14:textId="63B4FE11" w:rsidR="00F21240" w:rsidRDefault="00F21240" w:rsidP="00E3079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846C4B">
              <w:rPr>
                <w:rFonts w:ascii="Arial" w:eastAsia="Times New Roman" w:hAnsi="Arial" w:cs="Arial"/>
                <w:b/>
                <w:bCs/>
              </w:rPr>
              <w:t>1 hour monthly ($90/month)</w:t>
            </w:r>
            <w:r>
              <w:rPr>
                <w:rFonts w:ascii="Arial" w:eastAsia="Times New Roman" w:hAnsi="Arial" w:cs="Arial"/>
              </w:rPr>
              <w:t xml:space="preserve">* </w:t>
            </w:r>
            <w:r w:rsidR="00376E21">
              <w:rPr>
                <w:rFonts w:ascii="Arial" w:eastAsia="Times New Roman" w:hAnsi="Arial" w:cs="Arial"/>
              </w:rPr>
              <w:t>12</w:t>
            </w:r>
            <w:r>
              <w:rPr>
                <w:rFonts w:ascii="Arial" w:eastAsia="Times New Roman" w:hAnsi="Arial" w:cs="Arial"/>
              </w:rPr>
              <w:t xml:space="preserve"> months</w:t>
            </w:r>
          </w:p>
        </w:tc>
        <w:tc>
          <w:tcPr>
            <w:tcW w:w="2155" w:type="dxa"/>
            <w:vAlign w:val="bottom"/>
          </w:tcPr>
          <w:p w14:paraId="48E2247C" w14:textId="27623ECB" w:rsidR="00F21240" w:rsidRDefault="00376E21" w:rsidP="00AD75B0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$1,080</w:t>
            </w:r>
          </w:p>
        </w:tc>
      </w:tr>
      <w:tr w:rsidR="00F21240" w14:paraId="77CD19F5" w14:textId="77777777" w:rsidTr="00AD75B0">
        <w:tc>
          <w:tcPr>
            <w:tcW w:w="7915" w:type="dxa"/>
          </w:tcPr>
          <w:p w14:paraId="43DFD367" w14:textId="79043261" w:rsidR="00376E21" w:rsidRDefault="00BF0994" w:rsidP="00E30798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REDCap </w:t>
            </w:r>
            <w:r w:rsidR="00F21240">
              <w:rPr>
                <w:rFonts w:ascii="Arial" w:eastAsia="Times New Roman" w:hAnsi="Arial" w:cs="Arial"/>
              </w:rPr>
              <w:t xml:space="preserve">Cloud Set up &amp; Monthly </w:t>
            </w:r>
            <w:r>
              <w:rPr>
                <w:rFonts w:ascii="Arial" w:eastAsia="Times New Roman" w:hAnsi="Arial" w:cs="Arial"/>
              </w:rPr>
              <w:t xml:space="preserve">est. </w:t>
            </w:r>
            <w:r w:rsidR="00F21240">
              <w:rPr>
                <w:rFonts w:ascii="Arial" w:eastAsia="Times New Roman" w:hAnsi="Arial" w:cs="Arial"/>
              </w:rPr>
              <w:t xml:space="preserve">$500/month* </w:t>
            </w:r>
            <w:r w:rsidR="00376E21">
              <w:rPr>
                <w:rFonts w:ascii="Arial" w:eastAsia="Times New Roman" w:hAnsi="Arial" w:cs="Arial"/>
              </w:rPr>
              <w:t>12</w:t>
            </w:r>
            <w:r w:rsidR="00F21240">
              <w:rPr>
                <w:rFonts w:ascii="Arial" w:eastAsia="Times New Roman" w:hAnsi="Arial" w:cs="Arial"/>
              </w:rPr>
              <w:t xml:space="preserve"> months</w:t>
            </w:r>
            <w:r w:rsidR="00376E21">
              <w:rPr>
                <w:rFonts w:ascii="Arial" w:eastAsia="Times New Roman" w:hAnsi="Arial" w:cs="Arial"/>
              </w:rPr>
              <w:t xml:space="preserve"> </w:t>
            </w:r>
          </w:p>
          <w:p w14:paraId="30605325" w14:textId="77777777" w:rsidR="00F21240" w:rsidRDefault="00376E21" w:rsidP="00E30798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E30798">
              <w:rPr>
                <w:rFonts w:ascii="Arial" w:eastAsia="Times New Roman" w:hAnsi="Arial" w:cs="Arial"/>
              </w:rPr>
              <w:t>2 CORE 8GB RAM (supports 2 simultaneous users)</w:t>
            </w:r>
          </w:p>
          <w:p w14:paraId="2B6340E1" w14:textId="13CA8DB2" w:rsidR="00AD75B0" w:rsidRDefault="00AD75B0" w:rsidP="00E30798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*Estimated monthly fee</w:t>
            </w:r>
          </w:p>
        </w:tc>
        <w:tc>
          <w:tcPr>
            <w:tcW w:w="2155" w:type="dxa"/>
            <w:vAlign w:val="bottom"/>
          </w:tcPr>
          <w:p w14:paraId="19BCB735" w14:textId="1A2AA060" w:rsidR="00F21240" w:rsidRDefault="00376E21" w:rsidP="00AD75B0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$6,000</w:t>
            </w:r>
          </w:p>
        </w:tc>
      </w:tr>
      <w:tr w:rsidR="00F21240" w14:paraId="5B28B282" w14:textId="77777777" w:rsidTr="00AD75B0">
        <w:tc>
          <w:tcPr>
            <w:tcW w:w="7915" w:type="dxa"/>
          </w:tcPr>
          <w:p w14:paraId="1269C491" w14:textId="47994F1C" w:rsidR="00F21240" w:rsidRDefault="00F21240" w:rsidP="00E30798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Custom Fees</w:t>
            </w:r>
            <w:r w:rsidR="00376E21">
              <w:rPr>
                <w:rFonts w:ascii="Arial" w:eastAsia="Times New Roman" w:hAnsi="Arial" w:cs="Arial"/>
              </w:rPr>
              <w:t>—Additional Software for Analysis (Stata) * estimated based on 2021 license fees for 2 users</w:t>
            </w:r>
            <w:r w:rsidR="00AD75B0">
              <w:rPr>
                <w:rFonts w:ascii="Arial" w:eastAsia="Times New Roman" w:hAnsi="Arial" w:cs="Arial"/>
              </w:rPr>
              <w:t xml:space="preserve"> per year</w:t>
            </w:r>
          </w:p>
        </w:tc>
        <w:tc>
          <w:tcPr>
            <w:tcW w:w="2155" w:type="dxa"/>
            <w:vAlign w:val="bottom"/>
          </w:tcPr>
          <w:p w14:paraId="7EA6AC30" w14:textId="0E0D0512" w:rsidR="00F21240" w:rsidRDefault="00AD75B0" w:rsidP="00AD75B0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$1,455</w:t>
            </w:r>
          </w:p>
        </w:tc>
      </w:tr>
      <w:tr w:rsidR="00F21240" w14:paraId="49A9B02A" w14:textId="77777777" w:rsidTr="00AD75B0">
        <w:tc>
          <w:tcPr>
            <w:tcW w:w="7915" w:type="dxa"/>
          </w:tcPr>
          <w:p w14:paraId="0BBA7C2F" w14:textId="1387E196" w:rsidR="00F21240" w:rsidRPr="00AD75B0" w:rsidRDefault="00F21240" w:rsidP="00E30798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AD75B0">
              <w:rPr>
                <w:rFonts w:ascii="Arial" w:eastAsia="Times New Roman" w:hAnsi="Arial" w:cs="Arial"/>
                <w:b/>
                <w:bCs/>
              </w:rPr>
              <w:t>Total Fees for 1 Year Project</w:t>
            </w:r>
          </w:p>
        </w:tc>
        <w:tc>
          <w:tcPr>
            <w:tcW w:w="2155" w:type="dxa"/>
            <w:vAlign w:val="bottom"/>
          </w:tcPr>
          <w:p w14:paraId="0C3ADFD5" w14:textId="636AF539" w:rsidR="00F21240" w:rsidRPr="00AD75B0" w:rsidRDefault="00376E21" w:rsidP="00F21240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D75B0">
              <w:rPr>
                <w:rFonts w:ascii="Arial" w:eastAsia="Times New Roman" w:hAnsi="Arial" w:cs="Arial"/>
                <w:b/>
                <w:bCs/>
              </w:rPr>
              <w:t>$</w:t>
            </w:r>
            <w:r w:rsidR="00AD75B0">
              <w:rPr>
                <w:rFonts w:ascii="Arial" w:eastAsia="Times New Roman" w:hAnsi="Arial" w:cs="Arial"/>
                <w:b/>
                <w:bCs/>
              </w:rPr>
              <w:t>8,895</w:t>
            </w:r>
          </w:p>
        </w:tc>
      </w:tr>
    </w:tbl>
    <w:p w14:paraId="5959C4D2" w14:textId="63E084A1" w:rsidR="00BF0994" w:rsidRDefault="00BF0994" w:rsidP="00E30798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</w:rPr>
      </w:pPr>
    </w:p>
    <w:p w14:paraId="1E42F3F9" w14:textId="6F7495A2" w:rsidR="00BF0994" w:rsidRPr="00AD75B0" w:rsidRDefault="00BF0994" w:rsidP="00BF0994">
      <w:pPr>
        <w:spacing w:after="0" w:line="360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lastRenderedPageBreak/>
        <w:t>E</w:t>
      </w:r>
      <w:r w:rsidRPr="00AD75B0">
        <w:rPr>
          <w:rFonts w:ascii="Arial" w:eastAsia="Times New Roman" w:hAnsi="Arial" w:cs="Arial"/>
          <w:i/>
          <w:iCs/>
        </w:rPr>
        <w:t xml:space="preserve">xample </w:t>
      </w:r>
      <w:r w:rsidR="009E4218">
        <w:rPr>
          <w:rFonts w:ascii="Arial" w:eastAsia="Times New Roman" w:hAnsi="Arial" w:cs="Arial"/>
          <w:i/>
          <w:iCs/>
        </w:rPr>
        <w:t>2**---P</w:t>
      </w:r>
      <w:r w:rsidRPr="00AD75B0">
        <w:rPr>
          <w:rFonts w:ascii="Arial" w:eastAsia="Times New Roman" w:hAnsi="Arial" w:cs="Arial"/>
          <w:i/>
          <w:iCs/>
        </w:rPr>
        <w:t xml:space="preserve">lanning a </w:t>
      </w:r>
      <w:r>
        <w:rPr>
          <w:rFonts w:ascii="Arial" w:eastAsia="Times New Roman" w:hAnsi="Arial" w:cs="Arial"/>
          <w:i/>
          <w:iCs/>
        </w:rPr>
        <w:t xml:space="preserve">one-year budget requiring </w:t>
      </w:r>
      <w:r w:rsidRPr="00BF0994">
        <w:rPr>
          <w:rFonts w:ascii="Arial" w:eastAsia="Times New Roman" w:hAnsi="Arial" w:cs="Arial"/>
          <w:b/>
          <w:bCs/>
          <w:i/>
          <w:iCs/>
          <w:u w:val="single"/>
        </w:rPr>
        <w:t>only</w:t>
      </w:r>
      <w:r w:rsidRPr="00BF0994">
        <w:rPr>
          <w:rFonts w:ascii="Arial" w:eastAsia="Times New Roman" w:hAnsi="Arial" w:cs="Arial"/>
          <w:b/>
          <w:bCs/>
          <w:i/>
          <w:iCs/>
        </w:rPr>
        <w:t xml:space="preserve"> Data Management and Analysis</w:t>
      </w:r>
      <w:r>
        <w:rPr>
          <w:rFonts w:ascii="Arial" w:eastAsia="Times New Roman" w:hAnsi="Arial" w:cs="Arial"/>
          <w:b/>
          <w:bCs/>
          <w:i/>
          <w:iCs/>
        </w:rPr>
        <w:br/>
        <w:t>in the OSU MS/Azure Secure Cloud</w:t>
      </w:r>
      <w:r>
        <w:rPr>
          <w:rFonts w:ascii="Arial" w:eastAsia="Times New Roman" w:hAnsi="Arial" w:cs="Arial"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155"/>
      </w:tblGrid>
      <w:tr w:rsidR="00BF0994" w14:paraId="1A29236E" w14:textId="77777777" w:rsidTr="00CB6B25">
        <w:tc>
          <w:tcPr>
            <w:tcW w:w="7915" w:type="dxa"/>
          </w:tcPr>
          <w:p w14:paraId="09965E31" w14:textId="77777777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Service</w:t>
            </w:r>
          </w:p>
        </w:tc>
        <w:tc>
          <w:tcPr>
            <w:tcW w:w="2155" w:type="dxa"/>
            <w:vAlign w:val="bottom"/>
          </w:tcPr>
          <w:p w14:paraId="68A84342" w14:textId="77777777" w:rsidR="00BF0994" w:rsidRDefault="00BF0994" w:rsidP="00CB6B25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Fee Estimated</w:t>
            </w:r>
          </w:p>
        </w:tc>
      </w:tr>
      <w:tr w:rsidR="00BF0994" w14:paraId="68A20338" w14:textId="77777777" w:rsidTr="00CB6B25">
        <w:tc>
          <w:tcPr>
            <w:tcW w:w="7915" w:type="dxa"/>
          </w:tcPr>
          <w:p w14:paraId="3740EE61" w14:textId="77777777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CQLS </w:t>
            </w:r>
            <w:r w:rsidRPr="0044636D">
              <w:rPr>
                <w:rFonts w:ascii="Arial" w:eastAsia="Times New Roman" w:hAnsi="Arial" w:cs="Arial"/>
              </w:rPr>
              <w:t>Consulting and support</w:t>
            </w:r>
            <w:r>
              <w:rPr>
                <w:rFonts w:ascii="Arial" w:eastAsia="Times New Roman" w:hAnsi="Arial" w:cs="Arial"/>
              </w:rPr>
              <w:t xml:space="preserve"> set up</w:t>
            </w:r>
            <w:r>
              <w:rPr>
                <w:rFonts w:ascii="Arial" w:eastAsia="Times New Roman" w:hAnsi="Arial" w:cs="Arial"/>
              </w:rPr>
              <w:br/>
            </w:r>
            <w:r w:rsidRPr="0044636D">
              <w:rPr>
                <w:rFonts w:ascii="Arial" w:eastAsia="Times New Roman" w:hAnsi="Arial" w:cs="Arial"/>
              </w:rPr>
              <w:t>Standard fee--</w:t>
            </w:r>
            <w:r w:rsidRPr="00846C4B">
              <w:rPr>
                <w:rFonts w:ascii="Arial" w:eastAsia="Times New Roman" w:hAnsi="Arial" w:cs="Arial"/>
                <w:b/>
                <w:bCs/>
              </w:rPr>
              <w:t xml:space="preserve">4hr set up ($360) </w:t>
            </w:r>
          </w:p>
        </w:tc>
        <w:tc>
          <w:tcPr>
            <w:tcW w:w="2155" w:type="dxa"/>
            <w:vAlign w:val="bottom"/>
          </w:tcPr>
          <w:p w14:paraId="5105DAA6" w14:textId="77777777" w:rsidR="00BF0994" w:rsidRDefault="00BF0994" w:rsidP="00CB6B25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$360</w:t>
            </w:r>
          </w:p>
        </w:tc>
      </w:tr>
      <w:tr w:rsidR="00BF0994" w14:paraId="38233EC7" w14:textId="77777777" w:rsidTr="00CB6B25">
        <w:tc>
          <w:tcPr>
            <w:tcW w:w="7915" w:type="dxa"/>
          </w:tcPr>
          <w:p w14:paraId="2A627148" w14:textId="77777777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 w:rsidRPr="00846C4B">
              <w:rPr>
                <w:rFonts w:ascii="Arial" w:eastAsia="Times New Roman" w:hAnsi="Arial" w:cs="Arial"/>
                <w:b/>
                <w:bCs/>
              </w:rPr>
              <w:t>1 hour monthly ($90/month)</w:t>
            </w:r>
            <w:r>
              <w:rPr>
                <w:rFonts w:ascii="Arial" w:eastAsia="Times New Roman" w:hAnsi="Arial" w:cs="Arial"/>
              </w:rPr>
              <w:t>* 12 months</w:t>
            </w:r>
          </w:p>
        </w:tc>
        <w:tc>
          <w:tcPr>
            <w:tcW w:w="2155" w:type="dxa"/>
            <w:vAlign w:val="bottom"/>
          </w:tcPr>
          <w:p w14:paraId="1DA0AD40" w14:textId="77777777" w:rsidR="00BF0994" w:rsidRDefault="00BF0994" w:rsidP="00CB6B25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$1,080</w:t>
            </w:r>
          </w:p>
        </w:tc>
      </w:tr>
      <w:tr w:rsidR="00BF0994" w14:paraId="3EC0F96D" w14:textId="77777777" w:rsidTr="00CB6B25">
        <w:tc>
          <w:tcPr>
            <w:tcW w:w="7915" w:type="dxa"/>
          </w:tcPr>
          <w:p w14:paraId="3B2C198E" w14:textId="7DF0911A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Data Cloud Set up &amp; Monthly est. $350/month* 12 months </w:t>
            </w:r>
          </w:p>
          <w:p w14:paraId="25DD3E72" w14:textId="77777777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  <w:r w:rsidRPr="00E30798">
              <w:rPr>
                <w:rFonts w:ascii="Arial" w:eastAsia="Times New Roman" w:hAnsi="Arial" w:cs="Arial"/>
              </w:rPr>
              <w:t>2 CORE 8GB RAM (supports 2 simultaneous users)</w:t>
            </w:r>
          </w:p>
          <w:p w14:paraId="33B1576F" w14:textId="77777777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*Estimated monthly fee</w:t>
            </w:r>
          </w:p>
        </w:tc>
        <w:tc>
          <w:tcPr>
            <w:tcW w:w="2155" w:type="dxa"/>
            <w:vAlign w:val="bottom"/>
          </w:tcPr>
          <w:p w14:paraId="357403C2" w14:textId="2EC03E6D" w:rsidR="00BF0994" w:rsidRDefault="00BF0994" w:rsidP="00CB6B25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$4,200</w:t>
            </w:r>
          </w:p>
        </w:tc>
      </w:tr>
      <w:tr w:rsidR="00BF0994" w14:paraId="2EF3396B" w14:textId="77777777" w:rsidTr="00CB6B25">
        <w:tc>
          <w:tcPr>
            <w:tcW w:w="7915" w:type="dxa"/>
          </w:tcPr>
          <w:p w14:paraId="0C2D9D2C" w14:textId="77777777" w:rsidR="00BF0994" w:rsidRDefault="00BF0994" w:rsidP="00CB6B25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Custom Fees—Additional Software for Analysis (Stata) * estimated based on 2021 license fees for 2 users per year</w:t>
            </w:r>
          </w:p>
        </w:tc>
        <w:tc>
          <w:tcPr>
            <w:tcW w:w="2155" w:type="dxa"/>
            <w:vAlign w:val="bottom"/>
          </w:tcPr>
          <w:p w14:paraId="4CF35AE7" w14:textId="77777777" w:rsidR="00BF0994" w:rsidRDefault="00BF0994" w:rsidP="00CB6B25">
            <w:pPr>
              <w:spacing w:line="36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$1,455</w:t>
            </w:r>
          </w:p>
        </w:tc>
      </w:tr>
      <w:tr w:rsidR="00BF0994" w14:paraId="6DC016C4" w14:textId="77777777" w:rsidTr="00CB6B25">
        <w:tc>
          <w:tcPr>
            <w:tcW w:w="7915" w:type="dxa"/>
          </w:tcPr>
          <w:p w14:paraId="43EE8E1F" w14:textId="77777777" w:rsidR="00BF0994" w:rsidRPr="00AD75B0" w:rsidRDefault="00BF0994" w:rsidP="00CB6B25">
            <w:pPr>
              <w:spacing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AD75B0">
              <w:rPr>
                <w:rFonts w:ascii="Arial" w:eastAsia="Times New Roman" w:hAnsi="Arial" w:cs="Arial"/>
                <w:b/>
                <w:bCs/>
              </w:rPr>
              <w:t>Total Fees for 1 Year Project</w:t>
            </w:r>
          </w:p>
        </w:tc>
        <w:tc>
          <w:tcPr>
            <w:tcW w:w="2155" w:type="dxa"/>
            <w:vAlign w:val="bottom"/>
          </w:tcPr>
          <w:p w14:paraId="31CF0358" w14:textId="70BAF9D3" w:rsidR="00BF0994" w:rsidRPr="00AD75B0" w:rsidRDefault="00BF0994" w:rsidP="00CB6B25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D75B0">
              <w:rPr>
                <w:rFonts w:ascii="Arial" w:eastAsia="Times New Roman" w:hAnsi="Arial" w:cs="Arial"/>
                <w:b/>
                <w:bCs/>
              </w:rPr>
              <w:t>$</w:t>
            </w:r>
            <w:r>
              <w:rPr>
                <w:rFonts w:ascii="Arial" w:eastAsia="Times New Roman" w:hAnsi="Arial" w:cs="Arial"/>
                <w:b/>
                <w:bCs/>
              </w:rPr>
              <w:t>7,095</w:t>
            </w:r>
          </w:p>
        </w:tc>
      </w:tr>
    </w:tbl>
    <w:p w14:paraId="4920B358" w14:textId="77777777" w:rsidR="009E4218" w:rsidRDefault="009E4218" w:rsidP="00BF0994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**These examples are provided for planning purposes only. Final pricing needs to be based on a consultation with CQLS and subject </w:t>
      </w:r>
      <w:proofErr w:type="spellStart"/>
      <w:r>
        <w:rPr>
          <w:rFonts w:ascii="Arial" w:eastAsia="Times New Roman" w:hAnsi="Arial" w:cs="Arial"/>
          <w:i/>
          <w:iCs/>
        </w:rPr>
        <w:t>o</w:t>
      </w:r>
      <w:proofErr w:type="spellEnd"/>
      <w:r>
        <w:rPr>
          <w:rFonts w:ascii="Arial" w:eastAsia="Times New Roman" w:hAnsi="Arial" w:cs="Arial"/>
          <w:i/>
          <w:iCs/>
        </w:rPr>
        <w:t xml:space="preserve"> changes in MS/AZURE pricing and software vendor fees.  </w:t>
      </w:r>
    </w:p>
    <w:p w14:paraId="35E63CF5" w14:textId="0FF45310" w:rsidR="00BF0994" w:rsidRDefault="009E4218" w:rsidP="00BF0994">
      <w:pPr>
        <w:spacing w:before="100" w:beforeAutospacing="1" w:after="100" w:afterAutospacing="1" w:line="360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 xml:space="preserve">Use of this </w:t>
      </w:r>
      <w:r w:rsidR="00BF0994" w:rsidRPr="0044636D">
        <w:rPr>
          <w:rFonts w:ascii="Arial" w:eastAsia="Times New Roman" w:hAnsi="Arial" w:cs="Arial"/>
          <w:i/>
          <w:iCs/>
        </w:rPr>
        <w:t xml:space="preserve">service assumes and requires projects have IRB authorization for use of </w:t>
      </w:r>
      <w:r w:rsidR="00BF0994">
        <w:rPr>
          <w:rFonts w:ascii="Arial" w:eastAsia="Times New Roman" w:hAnsi="Arial" w:cs="Arial"/>
          <w:i/>
          <w:iCs/>
        </w:rPr>
        <w:t>any personally identifiable (</w:t>
      </w:r>
      <w:r w:rsidR="00BF0994" w:rsidRPr="0044636D">
        <w:rPr>
          <w:rFonts w:ascii="Arial" w:eastAsia="Times New Roman" w:hAnsi="Arial" w:cs="Arial"/>
          <w:i/>
          <w:iCs/>
        </w:rPr>
        <w:t>PII</w:t>
      </w:r>
      <w:r w:rsidR="00BF0994">
        <w:rPr>
          <w:rFonts w:ascii="Arial" w:eastAsia="Times New Roman" w:hAnsi="Arial" w:cs="Arial"/>
          <w:i/>
          <w:iCs/>
        </w:rPr>
        <w:t>) or personal health information (PHI)</w:t>
      </w:r>
      <w:r w:rsidR="00BF0994" w:rsidRPr="0044636D">
        <w:rPr>
          <w:rFonts w:ascii="Arial" w:eastAsia="Times New Roman" w:hAnsi="Arial" w:cs="Arial"/>
          <w:i/>
          <w:iCs/>
        </w:rPr>
        <w:t xml:space="preserve"> and </w:t>
      </w:r>
      <w:r w:rsidR="00BF0994">
        <w:rPr>
          <w:rFonts w:ascii="Arial" w:eastAsia="Times New Roman" w:hAnsi="Arial" w:cs="Arial"/>
          <w:i/>
          <w:iCs/>
        </w:rPr>
        <w:t xml:space="preserve">Users </w:t>
      </w:r>
      <w:r w:rsidR="00BF0994" w:rsidRPr="0044636D">
        <w:rPr>
          <w:rFonts w:ascii="Arial" w:eastAsia="Times New Roman" w:hAnsi="Arial" w:cs="Arial"/>
          <w:i/>
          <w:iCs/>
        </w:rPr>
        <w:t>will be accountable for all research requirements while using the services and infrastructure for data collection, management, and analysis.</w:t>
      </w:r>
      <w:r w:rsidR="00BF0994">
        <w:rPr>
          <w:rFonts w:ascii="Arial" w:eastAsia="Times New Roman" w:hAnsi="Arial" w:cs="Arial"/>
          <w:i/>
          <w:iCs/>
        </w:rPr>
        <w:t xml:space="preserve"> </w:t>
      </w:r>
    </w:p>
    <w:p w14:paraId="374CF43F" w14:textId="77777777" w:rsidR="00BF0994" w:rsidRDefault="00BF0994" w:rsidP="00E3079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F0994" w:rsidSect="00AD7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076D" w14:textId="77777777" w:rsidR="004247A9" w:rsidRDefault="004247A9" w:rsidP="00AD75B0">
      <w:pPr>
        <w:spacing w:after="0" w:line="240" w:lineRule="auto"/>
      </w:pPr>
      <w:r>
        <w:separator/>
      </w:r>
    </w:p>
  </w:endnote>
  <w:endnote w:type="continuationSeparator" w:id="0">
    <w:p w14:paraId="19E051C7" w14:textId="77777777" w:rsidR="004247A9" w:rsidRDefault="004247A9" w:rsidP="00A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316" w14:textId="77777777" w:rsidR="00AD75B0" w:rsidRDefault="00AD7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10C6" w14:textId="77777777" w:rsidR="00AD75B0" w:rsidRDefault="00AD7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FC35" w14:textId="77777777" w:rsidR="00AD75B0" w:rsidRDefault="00AD7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57C5" w14:textId="77777777" w:rsidR="004247A9" w:rsidRDefault="004247A9" w:rsidP="00AD75B0">
      <w:pPr>
        <w:spacing w:after="0" w:line="240" w:lineRule="auto"/>
      </w:pPr>
      <w:r>
        <w:separator/>
      </w:r>
    </w:p>
  </w:footnote>
  <w:footnote w:type="continuationSeparator" w:id="0">
    <w:p w14:paraId="5DB0E174" w14:textId="77777777" w:rsidR="004247A9" w:rsidRDefault="004247A9" w:rsidP="00A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039E" w14:textId="77777777" w:rsidR="00AD75B0" w:rsidRDefault="00AD7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20C0" w14:textId="4FD602FA" w:rsidR="00AD75B0" w:rsidRDefault="00AD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F0BC" w14:textId="77777777" w:rsidR="00AD75B0" w:rsidRDefault="00AD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EF"/>
    <w:multiLevelType w:val="hybridMultilevel"/>
    <w:tmpl w:val="7032A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34965"/>
    <w:multiLevelType w:val="hybridMultilevel"/>
    <w:tmpl w:val="281C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C3836"/>
    <w:multiLevelType w:val="hybridMultilevel"/>
    <w:tmpl w:val="6B0AE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654109">
    <w:abstractNumId w:val="0"/>
  </w:num>
  <w:num w:numId="2" w16cid:durableId="826095874">
    <w:abstractNumId w:val="2"/>
  </w:num>
  <w:num w:numId="3" w16cid:durableId="132030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C2"/>
    <w:rsid w:val="00030584"/>
    <w:rsid w:val="001D5FC8"/>
    <w:rsid w:val="00354627"/>
    <w:rsid w:val="00376E21"/>
    <w:rsid w:val="004247A9"/>
    <w:rsid w:val="0044636D"/>
    <w:rsid w:val="004577AE"/>
    <w:rsid w:val="004F154D"/>
    <w:rsid w:val="0050067B"/>
    <w:rsid w:val="005C082A"/>
    <w:rsid w:val="00660FFD"/>
    <w:rsid w:val="0069770D"/>
    <w:rsid w:val="007C3306"/>
    <w:rsid w:val="00821BF5"/>
    <w:rsid w:val="008E0859"/>
    <w:rsid w:val="009E4218"/>
    <w:rsid w:val="00AD75B0"/>
    <w:rsid w:val="00B467A3"/>
    <w:rsid w:val="00B77B27"/>
    <w:rsid w:val="00BF0994"/>
    <w:rsid w:val="00C37318"/>
    <w:rsid w:val="00D97099"/>
    <w:rsid w:val="00DD5A78"/>
    <w:rsid w:val="00DF1B1C"/>
    <w:rsid w:val="00E03293"/>
    <w:rsid w:val="00E17913"/>
    <w:rsid w:val="00E30798"/>
    <w:rsid w:val="00E35C85"/>
    <w:rsid w:val="00E76560"/>
    <w:rsid w:val="00ED2B2D"/>
    <w:rsid w:val="00EF572A"/>
    <w:rsid w:val="00F21240"/>
    <w:rsid w:val="00F26DF0"/>
    <w:rsid w:val="00FD7DC2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DD25EE"/>
  <w15:chartTrackingRefBased/>
  <w15:docId w15:val="{40393417-7826-4111-81B5-D132ED2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FD7DC2"/>
  </w:style>
  <w:style w:type="character" w:styleId="CommentReference">
    <w:name w:val="annotation reference"/>
    <w:basedOn w:val="DefaultParagraphFont"/>
    <w:uiPriority w:val="99"/>
    <w:semiHidden/>
    <w:unhideWhenUsed/>
    <w:rsid w:val="00ED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7B27"/>
    <w:pPr>
      <w:ind w:left="720"/>
      <w:contextualSpacing/>
    </w:pPr>
  </w:style>
  <w:style w:type="table" w:styleId="TableGrid">
    <w:name w:val="Table Grid"/>
    <w:basedOn w:val="TableNormal"/>
    <w:uiPriority w:val="39"/>
    <w:rsid w:val="00F2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B0"/>
  </w:style>
  <w:style w:type="paragraph" w:styleId="Footer">
    <w:name w:val="footer"/>
    <w:basedOn w:val="Normal"/>
    <w:link w:val="FooterChar"/>
    <w:uiPriority w:val="99"/>
    <w:unhideWhenUsed/>
    <w:rsid w:val="00AD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Denise M</dc:creator>
  <cp:keywords/>
  <dc:description/>
  <cp:lastModifiedBy>Denise Hynes</cp:lastModifiedBy>
  <cp:revision>2</cp:revision>
  <dcterms:created xsi:type="dcterms:W3CDTF">2022-12-08T23:50:00Z</dcterms:created>
  <dcterms:modified xsi:type="dcterms:W3CDTF">2022-12-08T23:50:00Z</dcterms:modified>
</cp:coreProperties>
</file>